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F417A" w14:textId="031A4DFE" w:rsidR="006015A5" w:rsidRDefault="001F7A70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>ANEXO 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OFERTA TÉCNICA</w:t>
      </w:r>
    </w:p>
    <w:p w14:paraId="44EFA469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88327BD" w14:textId="77777777" w:rsidR="00CC056C" w:rsidRPr="00CC056C" w:rsidRDefault="00CC056C" w:rsidP="00CC056C"/>
    <w:p w14:paraId="1A983E1A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5D932703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14C877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4BC5D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AEB0C30" w14:textId="38F9950A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</w:t>
      </w:r>
      <w:r w:rsidR="007255C3">
        <w:rPr>
          <w:rFonts w:asciiTheme="minorHAnsi" w:hAnsiTheme="minorHAnsi" w:cstheme="minorHAnsi"/>
          <w:sz w:val="22"/>
          <w:szCs w:val="22"/>
          <w:u w:val="single"/>
        </w:rPr>
        <w:t>los trapos pintones</w:t>
      </w:r>
      <w:r w:rsidR="007255C3">
        <w:rPr>
          <w:rFonts w:asciiTheme="minorHAnsi" w:hAnsiTheme="minorHAnsi" w:cstheme="minorHAnsi"/>
          <w:sz w:val="22"/>
          <w:szCs w:val="22"/>
        </w:rPr>
        <w:t xml:space="preserve"> según los requerimientos de Metro de Madrid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3F3D17" w14:textId="3A7B28BC" w:rsidR="00741056" w:rsidRPr="00D90CD7" w:rsidRDefault="00C330C1" w:rsidP="00C330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741056" w:rsidRPr="00D90CD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plazo de entrega será el indicado a continuación, expresado en semanas completas, contadas desde la fecha de emisión y envío de la correspondiente orden de entrega. </w:t>
      </w:r>
      <w:r w:rsidRPr="006579C8">
        <w:rPr>
          <w:rFonts w:asciiTheme="minorHAnsi" w:hAnsiTheme="minorHAnsi" w:cstheme="minorHAnsi"/>
          <w:sz w:val="22"/>
          <w:szCs w:val="22"/>
        </w:rPr>
        <w:t xml:space="preserve">El plazo de entrega máximo establecido es de </w:t>
      </w:r>
      <w:r>
        <w:rPr>
          <w:rFonts w:asciiTheme="minorHAnsi" w:hAnsiTheme="minorHAnsi" w:cstheme="minorHAnsi"/>
          <w:sz w:val="22"/>
          <w:szCs w:val="22"/>
        </w:rPr>
        <w:t>cinco (5</w:t>
      </w:r>
      <w:r w:rsidRPr="006579C8">
        <w:rPr>
          <w:rFonts w:asciiTheme="minorHAnsi" w:hAnsiTheme="minorHAnsi" w:cstheme="minorHAnsi"/>
          <w:sz w:val="22"/>
          <w:szCs w:val="22"/>
        </w:rPr>
        <w:t xml:space="preserve">) semanas </w:t>
      </w:r>
      <w:r>
        <w:rPr>
          <w:rFonts w:asciiTheme="minorHAnsi" w:hAnsiTheme="minorHAnsi" w:cstheme="minorHAnsi"/>
          <w:sz w:val="22"/>
          <w:szCs w:val="22"/>
        </w:rPr>
        <w:t xml:space="preserve">para la primera orden de entrega, siendo </w:t>
      </w:r>
      <w:r w:rsidRPr="006579C8">
        <w:rPr>
          <w:rFonts w:asciiTheme="minorHAnsi" w:hAnsiTheme="minorHAnsi" w:cstheme="minorHAnsi"/>
          <w:sz w:val="22"/>
          <w:szCs w:val="22"/>
        </w:rPr>
        <w:t xml:space="preserve">el plazo de entrega máximo establecido </w:t>
      </w:r>
      <w:r>
        <w:rPr>
          <w:rFonts w:asciiTheme="minorHAnsi" w:hAnsiTheme="minorHAnsi" w:cstheme="minorHAnsi"/>
          <w:sz w:val="22"/>
          <w:szCs w:val="22"/>
        </w:rPr>
        <w:t>para las posteriores órdenes de tres (3</w:t>
      </w:r>
      <w:r w:rsidRPr="006579C8">
        <w:rPr>
          <w:rFonts w:asciiTheme="minorHAnsi" w:hAnsiTheme="minorHAnsi" w:cstheme="minorHAnsi"/>
          <w:sz w:val="22"/>
          <w:szCs w:val="22"/>
        </w:rPr>
        <w:t>) semanas. Por lo que ofertas con plazos de entrega superiores a los máximos indicados serán desestimadas.</w:t>
      </w:r>
    </w:p>
    <w:p w14:paraId="68FA2E40" w14:textId="77777777" w:rsidR="00741056" w:rsidRPr="00371231" w:rsidRDefault="00741056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>*(Se debe cumplimentar la columna habilitada para tal efecto).</w:t>
      </w:r>
    </w:p>
    <w:p w14:paraId="60CD35C6" w14:textId="77777777" w:rsidR="004C2202" w:rsidRDefault="004C220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>** (Se deberá cumplimentar en caso que difiera con el plazo indicado para la primera orden de entrega)</w:t>
      </w:r>
    </w:p>
    <w:p w14:paraId="3B94D5AE" w14:textId="77777777" w:rsidR="00371231" w:rsidRP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84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876"/>
        <w:gridCol w:w="2069"/>
        <w:gridCol w:w="2053"/>
      </w:tblGrid>
      <w:tr w:rsidR="000027A0" w:rsidRPr="002231F0" w14:paraId="74327FE7" w14:textId="77777777" w:rsidTr="008F4994">
        <w:trPr>
          <w:trHeight w:val="439"/>
          <w:jc w:val="center"/>
        </w:trPr>
        <w:tc>
          <w:tcPr>
            <w:tcW w:w="141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531B5ECA" w14:textId="5A0A010B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  <w:r w:rsidR="008F4994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Metro Madrid</w:t>
            </w:r>
          </w:p>
        </w:tc>
        <w:tc>
          <w:tcPr>
            <w:tcW w:w="2876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5C105DCC" w14:textId="77777777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0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46821429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2E74A7C4" w14:textId="009DF30E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1ª entrega</w:t>
            </w:r>
          </w:p>
          <w:p w14:paraId="4C54E04C" w14:textId="3F07A421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53C687DB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6F2D9222" w14:textId="093866A5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resto de entregas</w:t>
            </w:r>
          </w:p>
          <w:p w14:paraId="424C09FA" w14:textId="36E02C68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(SEMANAS)**</w:t>
            </w:r>
          </w:p>
        </w:tc>
      </w:tr>
      <w:tr w:rsidR="000027A0" w:rsidRPr="00371231" w14:paraId="65D3F0DE" w14:textId="77777777" w:rsidTr="008F4994">
        <w:trPr>
          <w:trHeight w:val="439"/>
          <w:jc w:val="center"/>
        </w:trPr>
        <w:tc>
          <w:tcPr>
            <w:tcW w:w="141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vAlign w:val="center"/>
            <w:hideMark/>
          </w:tcPr>
          <w:p w14:paraId="51E42C74" w14:textId="72104A73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20502</w:t>
            </w:r>
          </w:p>
        </w:tc>
        <w:tc>
          <w:tcPr>
            <w:tcW w:w="2876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  <w:noWrap/>
            <w:vAlign w:val="center"/>
            <w:hideMark/>
          </w:tcPr>
          <w:p w14:paraId="398A3881" w14:textId="0B1D5CD0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TRAPOS PINTONES  (5KG)</w:t>
            </w:r>
          </w:p>
        </w:tc>
        <w:tc>
          <w:tcPr>
            <w:tcW w:w="20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3DE0B52F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70939CEB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0ECC7095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407C83D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99AA45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5F84D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6B376A3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DB5528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5EC8CE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4A688B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469970F1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8E9C3B" w14:textId="2790397C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2FA144D" w14:textId="77777777" w:rsidR="000F5918" w:rsidRDefault="000F591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14:paraId="050C2C46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0B2CAE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2ABDF25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06D95B" w14:textId="77777777" w:rsidR="006015A5" w:rsidRDefault="006015A5" w:rsidP="006015A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25CD6B86" w14:textId="77777777" w:rsidR="00CC056C" w:rsidRPr="00A600D8" w:rsidRDefault="00CC056C" w:rsidP="006015A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54A2C9FF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371231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60C52" w14:textId="77777777" w:rsidR="00CF6310" w:rsidRDefault="00CF6310" w:rsidP="006026D8">
      <w:pPr>
        <w:spacing w:line="240" w:lineRule="auto"/>
      </w:pPr>
      <w:r>
        <w:separator/>
      </w:r>
    </w:p>
  </w:endnote>
  <w:endnote w:type="continuationSeparator" w:id="0">
    <w:p w14:paraId="2AA9EFDC" w14:textId="77777777" w:rsidR="00CF6310" w:rsidRDefault="00CF631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41146" w14:textId="77777777" w:rsidR="00CF6310" w:rsidRDefault="00CF6310" w:rsidP="006026D8">
      <w:pPr>
        <w:spacing w:line="240" w:lineRule="auto"/>
      </w:pPr>
      <w:r>
        <w:separator/>
      </w:r>
    </w:p>
  </w:footnote>
  <w:footnote w:type="continuationSeparator" w:id="0">
    <w:p w14:paraId="40CEA368" w14:textId="77777777" w:rsidR="00CF6310" w:rsidRDefault="00CF631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0D871" w14:textId="77777777"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3EDB3" w14:textId="6713283C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9133DD" wp14:editId="427F6C8B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2F515" w14:textId="77777777"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027A0"/>
    <w:rsid w:val="00011BC0"/>
    <w:rsid w:val="000156BD"/>
    <w:rsid w:val="000167F2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84"/>
    <w:rsid w:val="000D44B5"/>
    <w:rsid w:val="000D7151"/>
    <w:rsid w:val="000E2531"/>
    <w:rsid w:val="000F591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1F7A70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3F3F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5529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42E4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5C3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167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8F4994"/>
    <w:rsid w:val="009003C8"/>
    <w:rsid w:val="00900A93"/>
    <w:rsid w:val="00904E6D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2A09"/>
    <w:rsid w:val="00AD6C06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5DDE"/>
    <w:rsid w:val="00C26EC3"/>
    <w:rsid w:val="00C31E55"/>
    <w:rsid w:val="00C3309D"/>
    <w:rsid w:val="00C330C1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699"/>
    <w:rsid w:val="00C74DBF"/>
    <w:rsid w:val="00C7545B"/>
    <w:rsid w:val="00C81637"/>
    <w:rsid w:val="00C830A2"/>
    <w:rsid w:val="00C85298"/>
    <w:rsid w:val="00C9075E"/>
    <w:rsid w:val="00C90EC5"/>
    <w:rsid w:val="00CA100A"/>
    <w:rsid w:val="00CA4373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CF6310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0CD7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4C64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73681D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73899-2E0C-4E96-A6DF-38749D77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1364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Soler Granados, Beatriz</cp:lastModifiedBy>
  <cp:revision>20</cp:revision>
  <cp:lastPrinted>2016-03-08T09:02:00Z</cp:lastPrinted>
  <dcterms:created xsi:type="dcterms:W3CDTF">2016-09-28T08:15:00Z</dcterms:created>
  <dcterms:modified xsi:type="dcterms:W3CDTF">2019-05-20T08:07:00Z</dcterms:modified>
</cp:coreProperties>
</file>