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30EEF780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Start w:id="1" w:name="_GoBack"/>
      <w:bookmarkEnd w:id="0"/>
      <w:bookmarkEnd w:id="1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05E69D7A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431398">
        <w:rPr>
          <w:rFonts w:asciiTheme="minorHAnsi" w:hAnsiTheme="minorHAnsi" w:cstheme="minorHAnsi"/>
          <w:sz w:val="22"/>
          <w:szCs w:val="22"/>
          <w:u w:val="single"/>
        </w:rPr>
        <w:t xml:space="preserve">homologada </w:t>
      </w:r>
      <w:r w:rsidR="002A6E7F">
        <w:rPr>
          <w:rFonts w:asciiTheme="minorHAnsi" w:hAnsiTheme="minorHAnsi" w:cstheme="minorHAnsi"/>
          <w:sz w:val="22"/>
          <w:szCs w:val="22"/>
          <w:u w:val="single"/>
        </w:rPr>
        <w:t>ofertada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17E47B74" w14:textId="668D88CE" w:rsidR="00431398" w:rsidRDefault="00431398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Los repuestos serán nuevos y originales</w:t>
      </w:r>
    </w:p>
    <w:p w14:paraId="5AE7ED9F" w14:textId="2C097160" w:rsidR="0035379F" w:rsidRPr="0005713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 xml:space="preserve">de la entrega </w:t>
      </w:r>
      <w:r w:rsidR="00427480">
        <w:rPr>
          <w:rFonts w:asciiTheme="minorHAnsi" w:hAnsiTheme="minorHAnsi" w:cstheme="minorHAnsi"/>
          <w:sz w:val="22"/>
          <w:szCs w:val="22"/>
        </w:rPr>
        <w:t>c</w:t>
      </w:r>
      <w:r w:rsidR="0035379F" w:rsidRPr="00741056">
        <w:rPr>
          <w:rFonts w:asciiTheme="minorHAnsi" w:hAnsiTheme="minorHAnsi" w:cstheme="minorHAnsi"/>
          <w:sz w:val="22"/>
          <w:szCs w:val="22"/>
        </w:rPr>
        <w:t>orresponderá a</w:t>
      </w:r>
      <w:r w:rsidR="0035379F">
        <w:rPr>
          <w:rFonts w:asciiTheme="minorHAnsi" w:hAnsiTheme="minorHAnsi" w:cstheme="minorHAnsi"/>
          <w:sz w:val="22"/>
          <w:szCs w:val="22"/>
        </w:rPr>
        <w:t xml:space="preserve">l que a 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427480">
        <w:rPr>
          <w:rFonts w:asciiTheme="minorHAnsi" w:hAnsiTheme="minorHAnsi" w:cstheme="minorHAnsi"/>
          <w:sz w:val="22"/>
          <w:szCs w:val="22"/>
        </w:rPr>
        <w:t>se indica, tras el envío de la correspondiente orden de entrega.</w:t>
      </w:r>
    </w:p>
    <w:p w14:paraId="40245DAC" w14:textId="72E83EFF" w:rsidR="00057139" w:rsidRDefault="00057139" w:rsidP="0005713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      Se indicará “1” o “2” según la marca y referencia ofertada</w:t>
      </w:r>
    </w:p>
    <w:p w14:paraId="3B76D46C" w14:textId="18B70A7B" w:rsidR="00A24CB2" w:rsidRDefault="00A24CB2" w:rsidP="0005713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 w:rsidR="00057139"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="009363DA">
        <w:rPr>
          <w:rFonts w:asciiTheme="minorHAnsi" w:hAnsiTheme="minorHAnsi" w:cstheme="minorHAnsi"/>
          <w:i/>
          <w:sz w:val="22"/>
          <w:szCs w:val="22"/>
        </w:rPr>
        <w:t>Se deberá indic</w:t>
      </w:r>
      <w:r w:rsidR="001819E5">
        <w:rPr>
          <w:rFonts w:asciiTheme="minorHAnsi" w:hAnsiTheme="minorHAnsi" w:cstheme="minorHAnsi"/>
          <w:i/>
          <w:sz w:val="22"/>
          <w:szCs w:val="22"/>
        </w:rPr>
        <w:t xml:space="preserve">ar el plazo de </w:t>
      </w:r>
      <w:r w:rsidR="002F2073">
        <w:rPr>
          <w:rFonts w:asciiTheme="minorHAnsi" w:hAnsiTheme="minorHAnsi" w:cstheme="minorHAnsi"/>
          <w:i/>
          <w:sz w:val="22"/>
          <w:szCs w:val="22"/>
        </w:rPr>
        <w:t>suministro</w:t>
      </w:r>
      <w:r w:rsidR="001819E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363DA">
        <w:rPr>
          <w:rFonts w:asciiTheme="minorHAnsi" w:hAnsiTheme="minorHAnsi" w:cstheme="minorHAnsi"/>
          <w:i/>
          <w:sz w:val="22"/>
          <w:szCs w:val="22"/>
        </w:rPr>
        <w:t xml:space="preserve">en </w:t>
      </w:r>
      <w:r w:rsidR="001819E5">
        <w:rPr>
          <w:rFonts w:asciiTheme="minorHAnsi" w:hAnsiTheme="minorHAnsi" w:cstheme="minorHAnsi"/>
          <w:i/>
          <w:sz w:val="22"/>
          <w:szCs w:val="22"/>
        </w:rPr>
        <w:t>días naturale</w:t>
      </w:r>
      <w:r>
        <w:rPr>
          <w:rFonts w:asciiTheme="minorHAnsi" w:hAnsiTheme="minorHAnsi" w:cstheme="minorHAnsi"/>
          <w:i/>
          <w:sz w:val="22"/>
          <w:szCs w:val="22"/>
        </w:rPr>
        <w:t>s</w:t>
      </w:r>
      <w:r w:rsidR="00F02199">
        <w:rPr>
          <w:rFonts w:asciiTheme="minorHAnsi" w:hAnsiTheme="minorHAnsi" w:cstheme="minorHAnsi"/>
          <w:i/>
          <w:sz w:val="22"/>
          <w:szCs w:val="22"/>
        </w:rPr>
        <w:t xml:space="preserve"> para la primera entrega</w:t>
      </w:r>
    </w:p>
    <w:p w14:paraId="5940BB83" w14:textId="2B018487" w:rsidR="00A24CB2" w:rsidRDefault="00A24CB2" w:rsidP="0005713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2001"/>
        <w:gridCol w:w="2981"/>
        <w:gridCol w:w="2268"/>
        <w:gridCol w:w="1843"/>
      </w:tblGrid>
      <w:tr w:rsidR="00431398" w:rsidRPr="00431398" w14:paraId="1CCC8AA7" w14:textId="71496551" w:rsidTr="00431398">
        <w:trPr>
          <w:trHeight w:val="908"/>
          <w:jc w:val="center"/>
        </w:trPr>
        <w:tc>
          <w:tcPr>
            <w:tcW w:w="825" w:type="dxa"/>
            <w:shd w:val="clear" w:color="000000" w:fill="4F81BD"/>
            <w:noWrap/>
            <w:vAlign w:val="center"/>
            <w:hideMark/>
          </w:tcPr>
          <w:p w14:paraId="00321BE5" w14:textId="2DA1AC1C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2001" w:type="dxa"/>
            <w:shd w:val="clear" w:color="000000" w:fill="4F81BD"/>
            <w:noWrap/>
            <w:vAlign w:val="center"/>
            <w:hideMark/>
          </w:tcPr>
          <w:p w14:paraId="1D64DD7C" w14:textId="77777777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2981" w:type="dxa"/>
            <w:shd w:val="clear" w:color="000000" w:fill="4F81BD"/>
            <w:vAlign w:val="center"/>
            <w:hideMark/>
          </w:tcPr>
          <w:p w14:paraId="4191A7DA" w14:textId="79743046" w:rsidR="00431398" w:rsidRPr="00431398" w:rsidRDefault="00431398" w:rsidP="0005713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MARCA/REFERENCIA HOMOLOGADA</w:t>
            </w:r>
          </w:p>
        </w:tc>
        <w:tc>
          <w:tcPr>
            <w:tcW w:w="2268" w:type="dxa"/>
            <w:shd w:val="clear" w:color="000000" w:fill="4F81BD"/>
            <w:vAlign w:val="center"/>
          </w:tcPr>
          <w:p w14:paraId="27448242" w14:textId="77777777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REFERENCIA OFERTADA</w:t>
            </w:r>
          </w:p>
          <w:p w14:paraId="15B6938D" w14:textId="7C7B3604" w:rsidR="00431398" w:rsidRPr="00431398" w:rsidRDefault="00431398" w:rsidP="008A792D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1843" w:type="dxa"/>
            <w:shd w:val="clear" w:color="000000" w:fill="4F81BD"/>
            <w:vAlign w:val="center"/>
            <w:hideMark/>
          </w:tcPr>
          <w:p w14:paraId="0BE13B34" w14:textId="75FAF867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DE LA 1ª ENTREGA </w:t>
            </w:r>
          </w:p>
          <w:p w14:paraId="1AF315C7" w14:textId="7EA6DEA3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(Días naturales)</w:t>
            </w:r>
          </w:p>
          <w:p w14:paraId="5AA8E7AC" w14:textId="5A479F8C" w:rsidR="00431398" w:rsidRPr="00431398" w:rsidRDefault="00431398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(**)</w:t>
            </w:r>
          </w:p>
        </w:tc>
      </w:tr>
      <w:tr w:rsidR="00431398" w:rsidRPr="00431398" w14:paraId="5F6451F6" w14:textId="2AE39F3C" w:rsidTr="00431398">
        <w:trPr>
          <w:trHeight w:val="756"/>
          <w:jc w:val="center"/>
        </w:trPr>
        <w:tc>
          <w:tcPr>
            <w:tcW w:w="825" w:type="dxa"/>
            <w:vMerge w:val="restart"/>
            <w:shd w:val="clear" w:color="000000" w:fill="DBE5F1"/>
            <w:vAlign w:val="center"/>
          </w:tcPr>
          <w:p w14:paraId="26BD7F07" w14:textId="50D972FB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color w:val="000000"/>
                <w:sz w:val="18"/>
                <w:szCs w:val="18"/>
              </w:rPr>
              <w:t>52705</w:t>
            </w:r>
          </w:p>
        </w:tc>
        <w:tc>
          <w:tcPr>
            <w:tcW w:w="2001" w:type="dxa"/>
            <w:vMerge w:val="restart"/>
            <w:shd w:val="clear" w:color="000000" w:fill="DBE5F1"/>
            <w:noWrap/>
            <w:vAlign w:val="center"/>
          </w:tcPr>
          <w:p w14:paraId="4EBEFA65" w14:textId="2384C478" w:rsidR="00431398" w:rsidRPr="00431398" w:rsidRDefault="00431398" w:rsidP="00D50A2E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color w:val="000000"/>
                <w:sz w:val="18"/>
                <w:szCs w:val="18"/>
              </w:rPr>
              <w:t>ROD NU210 LADO NO ACC. SIEMENS 8000 BIT.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5F699D41" w14:textId="6568F935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072D4963" w14:textId="79056E47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b/>
                <w:color w:val="000000"/>
                <w:sz w:val="18"/>
                <w:szCs w:val="18"/>
              </w:rPr>
              <w:t>(1)</w:t>
            </w:r>
          </w:p>
          <w:p w14:paraId="606499C5" w14:textId="77777777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455CE2F2" w14:textId="0A64FDCF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color w:val="000000"/>
                <w:sz w:val="18"/>
                <w:szCs w:val="18"/>
              </w:rPr>
              <w:t>Fabricante: FAG</w:t>
            </w:r>
          </w:p>
          <w:p w14:paraId="11A23B6B" w14:textId="77777777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sz w:val="18"/>
                <w:szCs w:val="18"/>
              </w:rPr>
            </w:pPr>
            <w:r w:rsidRPr="00431398">
              <w:rPr>
                <w:sz w:val="18"/>
                <w:szCs w:val="18"/>
              </w:rPr>
              <w:t>DIN 43283 NU210 E.M</w:t>
            </w:r>
            <w:proofErr w:type="gramStart"/>
            <w:r w:rsidRPr="00431398">
              <w:rPr>
                <w:sz w:val="18"/>
                <w:szCs w:val="18"/>
              </w:rPr>
              <w:t>1.R</w:t>
            </w:r>
            <w:proofErr w:type="gramEnd"/>
            <w:r w:rsidRPr="00431398">
              <w:rPr>
                <w:sz w:val="18"/>
                <w:szCs w:val="18"/>
              </w:rPr>
              <w:t>85/100NA.S1.F1.J20AA</w:t>
            </w:r>
          </w:p>
          <w:p w14:paraId="0F98E024" w14:textId="7924BE37" w:rsidR="00431398" w:rsidRPr="00431398" w:rsidRDefault="00431398" w:rsidP="00057139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239D7A4" w14:textId="77777777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6DB8AAF" w14:textId="18474BF6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431398" w:rsidRPr="00431398" w14:paraId="3C0D23AC" w14:textId="08BD608A" w:rsidTr="00431398">
        <w:trPr>
          <w:trHeight w:val="843"/>
          <w:jc w:val="center"/>
        </w:trPr>
        <w:tc>
          <w:tcPr>
            <w:tcW w:w="825" w:type="dxa"/>
            <w:vMerge/>
            <w:shd w:val="clear" w:color="000000" w:fill="DBE5F1"/>
            <w:vAlign w:val="center"/>
          </w:tcPr>
          <w:p w14:paraId="01416B88" w14:textId="77777777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vMerge/>
            <w:shd w:val="clear" w:color="000000" w:fill="DBE5F1"/>
            <w:noWrap/>
            <w:vAlign w:val="center"/>
          </w:tcPr>
          <w:p w14:paraId="45C6E9EB" w14:textId="77777777" w:rsidR="00431398" w:rsidRPr="00431398" w:rsidRDefault="00431398" w:rsidP="00D50A2E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1E900B2" w14:textId="77777777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74573880" w14:textId="08229350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b/>
                <w:color w:val="000000"/>
                <w:sz w:val="18"/>
                <w:szCs w:val="18"/>
              </w:rPr>
              <w:t>(2)</w:t>
            </w:r>
          </w:p>
          <w:p w14:paraId="511F7B50" w14:textId="77777777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3FCA8CCC" w14:textId="6F253B03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31398">
              <w:rPr>
                <w:rFonts w:eastAsia="Times New Roman"/>
                <w:color w:val="000000"/>
                <w:sz w:val="18"/>
                <w:szCs w:val="18"/>
              </w:rPr>
              <w:t>Fabricante: SKF</w:t>
            </w:r>
          </w:p>
          <w:p w14:paraId="171AAA98" w14:textId="77777777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sz w:val="18"/>
                <w:szCs w:val="18"/>
              </w:rPr>
            </w:pPr>
            <w:r w:rsidRPr="00431398">
              <w:rPr>
                <w:sz w:val="18"/>
                <w:szCs w:val="18"/>
              </w:rPr>
              <w:t>DIN 43283 NU210</w:t>
            </w:r>
          </w:p>
          <w:p w14:paraId="143254CF" w14:textId="77777777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sz w:val="18"/>
                <w:szCs w:val="18"/>
              </w:rPr>
            </w:pPr>
            <w:r w:rsidRPr="00431398">
              <w:rPr>
                <w:sz w:val="18"/>
                <w:szCs w:val="18"/>
              </w:rPr>
              <w:t>ECM/C4 S1 VA 3091</w:t>
            </w:r>
          </w:p>
          <w:p w14:paraId="7B08BEF8" w14:textId="6D0FDA30" w:rsidR="00431398" w:rsidRPr="00431398" w:rsidRDefault="00431398" w:rsidP="008A792D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5A6E3A19" w14:textId="77777777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9931EB1" w14:textId="001255B2" w:rsidR="00431398" w:rsidRPr="00431398" w:rsidRDefault="00431398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4E9A9B2A" w14:textId="77777777" w:rsidR="00431398" w:rsidRDefault="004313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4896C10" w14:textId="77777777" w:rsidR="00431398" w:rsidRDefault="004313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CE4BEC6" w14:textId="17BA17A9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B5792" w14:textId="77777777" w:rsidR="0057735D" w:rsidRDefault="0057735D" w:rsidP="006026D8">
      <w:pPr>
        <w:spacing w:line="240" w:lineRule="auto"/>
      </w:pPr>
      <w:r>
        <w:separator/>
      </w:r>
    </w:p>
  </w:endnote>
  <w:endnote w:type="continuationSeparator" w:id="0">
    <w:p w14:paraId="296ABD2E" w14:textId="77777777" w:rsidR="0057735D" w:rsidRDefault="0057735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230EC0E7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224FF8">
      <w:rPr>
        <w:b/>
        <w:bCs/>
      </w:rPr>
      <w:t xml:space="preserve">DE </w:t>
    </w:r>
    <w:r w:rsidR="008A792D">
      <w:rPr>
        <w:b/>
        <w:bCs/>
      </w:rPr>
      <w:t>“RODAMIENTOS DE MOTORES DE TRACIÓN</w:t>
    </w:r>
    <w:r w:rsidR="00431398">
      <w:rPr>
        <w:b/>
        <w:bCs/>
      </w:rPr>
      <w:t xml:space="preserve"> </w:t>
    </w:r>
    <w:r w:rsidR="008A792D">
      <w:rPr>
        <w:b/>
        <w:bCs/>
      </w:rPr>
      <w:t>DE LA SERIE 8000 BITENSIÓN” DEL PARQUE DE MATERIAL MÓVIL DE METRO DE MADRID, S.A., REFERENCIA INTERNA 52705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DCF09" w14:textId="77777777" w:rsidR="0057735D" w:rsidRDefault="0057735D" w:rsidP="006026D8">
      <w:pPr>
        <w:spacing w:line="240" w:lineRule="auto"/>
      </w:pPr>
      <w:r>
        <w:separator/>
      </w:r>
    </w:p>
  </w:footnote>
  <w:footnote w:type="continuationSeparator" w:id="0">
    <w:p w14:paraId="3A4AE521" w14:textId="77777777" w:rsidR="0057735D" w:rsidRDefault="0057735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66F4FD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43139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43139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7139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4E74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33F4"/>
    <w:rsid w:val="002C6072"/>
    <w:rsid w:val="002D3228"/>
    <w:rsid w:val="002D3D1F"/>
    <w:rsid w:val="002E09E7"/>
    <w:rsid w:val="002E2597"/>
    <w:rsid w:val="002E32D1"/>
    <w:rsid w:val="002E6E7A"/>
    <w:rsid w:val="002F14F1"/>
    <w:rsid w:val="002F2073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3A7"/>
    <w:rsid w:val="00391AD5"/>
    <w:rsid w:val="00392C89"/>
    <w:rsid w:val="00397568"/>
    <w:rsid w:val="003A28E8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1398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ACB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4CB2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4A2D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0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199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61B7-22EE-4026-930D-FCDA66BC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1236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Moreno Candel, María Rosario</cp:lastModifiedBy>
  <cp:revision>14</cp:revision>
  <cp:lastPrinted>2016-03-08T09:02:00Z</cp:lastPrinted>
  <dcterms:created xsi:type="dcterms:W3CDTF">2019-06-05T11:19:00Z</dcterms:created>
  <dcterms:modified xsi:type="dcterms:W3CDTF">2019-07-30T13:11:00Z</dcterms:modified>
</cp:coreProperties>
</file>