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7808BBB" w14:textId="58164668" w:rsidR="00B50200" w:rsidRPr="00B50200" w:rsidRDefault="00B50200" w:rsidP="00B5020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507CD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TÉCNICA: PLAZOS Y REFERENCIA OFERTADA</w:t>
      </w:r>
    </w:p>
    <w:p w14:paraId="797D7313" w14:textId="77777777" w:rsidR="00B50200" w:rsidRPr="00007C77" w:rsidRDefault="00B50200" w:rsidP="00B50200"/>
    <w:p w14:paraId="5CB4A08E" w14:textId="1B47647C" w:rsidR="00B50200" w:rsidRPr="009252C7" w:rsidRDefault="00B50200" w:rsidP="00B5020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653BE">
        <w:rPr>
          <w:b/>
          <w:i/>
          <w:color w:val="C00000"/>
          <w:sz w:val="18"/>
          <w:szCs w:val="18"/>
        </w:rPr>
        <w:t>nº2</w:t>
      </w:r>
    </w:p>
    <w:p w14:paraId="18803CC8" w14:textId="77777777" w:rsidR="00B50200" w:rsidRPr="00CC056C" w:rsidRDefault="00B50200" w:rsidP="00B50200"/>
    <w:p w14:paraId="0AA88C4B" w14:textId="77777777" w:rsidR="00B50200" w:rsidRPr="002231F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 xml:space="preserve">……………………..…………………,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F1ABF3B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0273E28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886AF5" w14:textId="77777777" w:rsidR="00B50200" w:rsidRPr="00CC056C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587C1E75" w14:textId="77777777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repuestos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</w:t>
      </w:r>
    </w:p>
    <w:p w14:paraId="2CA94619" w14:textId="77777777" w:rsidR="00B50200" w:rsidRPr="00250456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74F2ED84" w14:textId="52B90FF1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F507CD">
        <w:rPr>
          <w:rFonts w:asciiTheme="minorHAnsi" w:hAnsiTheme="minorHAnsi" w:cstheme="minorHAnsi"/>
          <w:sz w:val="22"/>
          <w:szCs w:val="22"/>
        </w:rPr>
        <w:t>20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p w14:paraId="268EE940" w14:textId="77777777" w:rsidR="00B50200" w:rsidRPr="00250456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1418"/>
        <w:gridCol w:w="1276"/>
        <w:gridCol w:w="2131"/>
        <w:gridCol w:w="1271"/>
      </w:tblGrid>
      <w:tr w:rsidR="00B50200" w:rsidRPr="008328A3" w14:paraId="6D08BDAB" w14:textId="77777777" w:rsidTr="00B316FD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5396FF4F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62CD6957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694" w:type="dxa"/>
            <w:gridSpan w:val="2"/>
            <w:shd w:val="clear" w:color="000000" w:fill="548DD4"/>
            <w:vAlign w:val="center"/>
            <w:hideMark/>
          </w:tcPr>
          <w:p w14:paraId="7D4F212B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 MODELOS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HOMOLOGADOS</w:t>
            </w:r>
          </w:p>
        </w:tc>
        <w:tc>
          <w:tcPr>
            <w:tcW w:w="2131" w:type="dxa"/>
            <w:vMerge w:val="restart"/>
            <w:shd w:val="clear" w:color="000000" w:fill="548DD4"/>
            <w:vAlign w:val="center"/>
            <w:hideMark/>
          </w:tcPr>
          <w:p w14:paraId="3FF0D84D" w14:textId="69283459" w:rsidR="00B50200" w:rsidRPr="00405C7F" w:rsidRDefault="00B5020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</w:tc>
        <w:tc>
          <w:tcPr>
            <w:tcW w:w="1271" w:type="dxa"/>
            <w:vMerge w:val="restart"/>
            <w:shd w:val="clear" w:color="000000" w:fill="548DD4"/>
            <w:vAlign w:val="center"/>
            <w:hideMark/>
          </w:tcPr>
          <w:p w14:paraId="59B9C86F" w14:textId="77777777" w:rsidR="00B50200" w:rsidRDefault="00B5020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3CD5B18A" w14:textId="4CE12F78" w:rsidR="00A03CB7" w:rsidRPr="008328A3" w:rsidRDefault="00A03CB7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(1ª entrega)</w:t>
            </w:r>
          </w:p>
        </w:tc>
      </w:tr>
      <w:tr w:rsidR="00B50200" w:rsidRPr="008328A3" w14:paraId="7B3DACA6" w14:textId="77777777" w:rsidTr="00B316FD">
        <w:trPr>
          <w:trHeight w:val="516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03612E5A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423BF575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1445D47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1</w:t>
            </w:r>
          </w:p>
        </w:tc>
        <w:tc>
          <w:tcPr>
            <w:tcW w:w="127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06BB231F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2</w:t>
            </w:r>
          </w:p>
        </w:tc>
        <w:tc>
          <w:tcPr>
            <w:tcW w:w="2131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543F03D3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0828BE6" w14:textId="77777777" w:rsidR="00B50200" w:rsidRPr="008328A3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B50200" w:rsidRPr="00654FE7" w14:paraId="46A3BC25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815620E" w14:textId="19A28A9B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271010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375F6F67" w14:textId="66645B78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SENSOR DE VELOCIDAD      COD.371VE03010B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F177624" w14:textId="77777777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 xml:space="preserve">Fabricante: JAQUET TECHNOLOGY GROUP </w:t>
            </w:r>
          </w:p>
          <w:p w14:paraId="1FBCD34F" w14:textId="77777777" w:rsidR="004653BE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 xml:space="preserve">Referencia: </w:t>
            </w:r>
          </w:p>
          <w:p w14:paraId="68593308" w14:textId="5ECDFF02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DSE-EH20.19-AHZ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B469BB4" w14:textId="77777777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 xml:space="preserve">Fabricante: HITACHI RAIL </w:t>
            </w:r>
          </w:p>
          <w:p w14:paraId="5F9E3FCD" w14:textId="1ED0126C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Código material: 371VE03010B.</w:t>
            </w:r>
          </w:p>
        </w:tc>
        <w:tc>
          <w:tcPr>
            <w:tcW w:w="2131" w:type="dxa"/>
            <w:shd w:val="clear" w:color="auto" w:fill="FFFFFF" w:themeFill="background1"/>
            <w:vAlign w:val="center"/>
            <w:hideMark/>
          </w:tcPr>
          <w:p w14:paraId="55027F47" w14:textId="77777777" w:rsidR="00B50200" w:rsidRPr="009B3F6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  <w:hideMark/>
          </w:tcPr>
          <w:p w14:paraId="5BD99E88" w14:textId="77777777" w:rsidR="00B50200" w:rsidRPr="009B3F6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</w:tbl>
    <w:p w14:paraId="1275B122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192916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84A12A1" w14:textId="77777777" w:rsidR="00B50200" w:rsidRDefault="00B50200" w:rsidP="00B5020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Se deberá indicar “opción 1” o “opción 2” </w:t>
      </w:r>
      <w:r w:rsidRPr="00390226">
        <w:rPr>
          <w:rFonts w:asciiTheme="minorHAnsi" w:hAnsiTheme="minorHAnsi" w:cstheme="minorHAnsi"/>
          <w:i/>
          <w:sz w:val="18"/>
          <w:szCs w:val="18"/>
        </w:rPr>
        <w:t>en función del modelo/fabricante que oferte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2DBFC42E" w14:textId="34E8F0D3" w:rsidR="00676471" w:rsidRDefault="00B50200" w:rsidP="0052632D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66780F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plazo de suministro</w:t>
      </w:r>
      <w:r w:rsidR="0066780F"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="009B3F6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F507CD">
        <w:rPr>
          <w:rFonts w:asciiTheme="minorHAnsi" w:hAnsiTheme="minorHAnsi" w:cstheme="minorHAnsi"/>
          <w:i/>
          <w:sz w:val="18"/>
          <w:szCs w:val="18"/>
        </w:rPr>
        <w:t>veinte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="00F507CD">
        <w:rPr>
          <w:rFonts w:asciiTheme="minorHAnsi" w:hAnsiTheme="minorHAnsi" w:cstheme="minorHAnsi"/>
          <w:i/>
          <w:sz w:val="18"/>
          <w:szCs w:val="18"/>
        </w:rPr>
        <w:t>20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 w:rsidR="00F9603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F9603F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B4B16F3" w14:textId="77777777" w:rsidR="00676471" w:rsidRDefault="00676471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7C53BF" w14:textId="30D5F5FF" w:rsidR="00B50200" w:rsidRPr="00B50200" w:rsidRDefault="00B50200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8A56EDA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9A57F8" w14:textId="77777777" w:rsidR="00B50200" w:rsidRPr="00CC056C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452D9677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F2371D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7390BE1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613B167" w14:textId="4928958A" w:rsidR="009D3F78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9D3F78" w:rsidSect="009D3F78">
      <w:headerReference w:type="default" r:id="rId8"/>
      <w:footerReference w:type="default" r:id="rId9"/>
      <w:pgSz w:w="11900" w:h="16840"/>
      <w:pgMar w:top="1740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3CF92" w14:textId="77777777" w:rsidR="00185ED8" w:rsidRDefault="00185ED8" w:rsidP="006026D8">
      <w:pPr>
        <w:spacing w:line="240" w:lineRule="auto"/>
      </w:pPr>
      <w:r>
        <w:separator/>
      </w:r>
    </w:p>
  </w:endnote>
  <w:endnote w:type="continuationSeparator" w:id="0">
    <w:p w14:paraId="05E69A58" w14:textId="77777777" w:rsidR="00185ED8" w:rsidRDefault="00185ED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2DF8E3C5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 xml:space="preserve">PLIEGO DE PRESCRIPCIONES TÉCNICAS PARA LA CONTRATACIÓN DEL SUMINISTRO DE </w:t>
    </w:r>
    <w:r w:rsidR="009214C9" w:rsidRPr="009214C9">
      <w:rPr>
        <w:b/>
        <w:bCs/>
      </w:rPr>
      <w:t>SENSORES DE VELOCIDAD PARA LAS SERIES 7000 Y 9000 DE METRO DE MADRID S.A.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67056" w14:textId="77777777" w:rsidR="00185ED8" w:rsidRDefault="00185ED8" w:rsidP="006026D8">
      <w:pPr>
        <w:spacing w:line="240" w:lineRule="auto"/>
      </w:pPr>
      <w:r>
        <w:separator/>
      </w:r>
    </w:p>
  </w:footnote>
  <w:footnote w:type="continuationSeparator" w:id="0">
    <w:p w14:paraId="644E1F5B" w14:textId="77777777" w:rsidR="00185ED8" w:rsidRDefault="00185ED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47F85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5ED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53BE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780F"/>
    <w:rsid w:val="00670C2D"/>
    <w:rsid w:val="00671146"/>
    <w:rsid w:val="00671BE4"/>
    <w:rsid w:val="00676471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4C9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6795E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03CB7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D63"/>
    <w:rsid w:val="00B3404D"/>
    <w:rsid w:val="00B370A4"/>
    <w:rsid w:val="00B4000C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9A7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1A8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507CD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03F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D3668-6DF0-432A-BA70-8E2D78ED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1714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2021-12-23T10:49:00Z</dcterms:created>
  <dcterms:modified xsi:type="dcterms:W3CDTF">2021-12-23T10:49:00Z</dcterms:modified>
</cp:coreProperties>
</file>