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9BF" w:rsidRDefault="00C229BF" w:rsidP="00C229BF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832E65">
        <w:rPr>
          <w:rFonts w:ascii="Arial" w:hAnsi="Arial" w:cs="Arial"/>
          <w:b/>
        </w:rPr>
        <w:t>CONSULTA PRELIMINAR AL MERCADO PARA LA LICITACIÓN</w:t>
      </w:r>
    </w:p>
    <w:p w:rsidR="00C229BF" w:rsidRDefault="00C229BF" w:rsidP="00C229BF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832E65">
        <w:rPr>
          <w:rFonts w:ascii="Arial" w:hAnsi="Arial" w:cs="Arial"/>
          <w:b/>
        </w:rPr>
        <w:t xml:space="preserve">E UN CONTRATO DE IMPACTO SOCIAL </w:t>
      </w:r>
      <w:r>
        <w:rPr>
          <w:rFonts w:ascii="Arial" w:hAnsi="Arial" w:cs="Arial"/>
          <w:b/>
        </w:rPr>
        <w:t>DE</w:t>
      </w:r>
    </w:p>
    <w:p w:rsidR="00C229BF" w:rsidRDefault="00C229BF" w:rsidP="00C229BF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r w:rsidRPr="00051402">
        <w:rPr>
          <w:rFonts w:ascii="Arial" w:hAnsi="Arial" w:cs="Arial"/>
          <w:b/>
        </w:rPr>
        <w:t>“SERVICIO DE PROVISIÓN DE SALIDAS AUTÓNOMAS</w:t>
      </w:r>
    </w:p>
    <w:p w:rsidR="00C229BF" w:rsidRPr="001D33CC" w:rsidRDefault="00C229BF" w:rsidP="00C229BF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  <w:i/>
        </w:rPr>
      </w:pPr>
      <w:r w:rsidRPr="00051402">
        <w:rPr>
          <w:rFonts w:ascii="Arial" w:hAnsi="Arial" w:cs="Arial"/>
          <w:b/>
        </w:rPr>
        <w:t xml:space="preserve">DE LAS PLAZAS DE </w:t>
      </w:r>
      <w:r w:rsidRPr="00051402">
        <w:rPr>
          <w:rFonts w:ascii="Arial" w:hAnsi="Arial" w:cs="Arial"/>
          <w:b/>
          <w:i/>
        </w:rPr>
        <w:t>HOUSING FIRST</w:t>
      </w:r>
      <w:r w:rsidRPr="00051402">
        <w:rPr>
          <w:rFonts w:ascii="Arial" w:hAnsi="Arial" w:cs="Arial"/>
          <w:b/>
        </w:rPr>
        <w:t>”</w:t>
      </w:r>
    </w:p>
    <w:p w:rsidR="00832E65" w:rsidRPr="00A551FF" w:rsidRDefault="00832E65" w:rsidP="00A551FF">
      <w:pPr>
        <w:spacing w:after="120" w:line="257" w:lineRule="auto"/>
        <w:jc w:val="both"/>
        <w:rPr>
          <w:rFonts w:ascii="Arial" w:hAnsi="Arial" w:cs="Arial"/>
        </w:rPr>
      </w:pPr>
    </w:p>
    <w:p w:rsidR="00A551FF" w:rsidRPr="00A551FF" w:rsidRDefault="00A551FF" w:rsidP="00A551FF">
      <w:pPr>
        <w:pStyle w:val="Ttulo1"/>
        <w:spacing w:after="120" w:line="257" w:lineRule="auto"/>
        <w:ind w:left="0"/>
        <w:jc w:val="center"/>
        <w:rPr>
          <w:rFonts w:ascii="Arial" w:hAnsi="Arial" w:cs="Arial"/>
        </w:rPr>
      </w:pPr>
      <w:r w:rsidRPr="00A551FF">
        <w:rPr>
          <w:rFonts w:ascii="Arial" w:hAnsi="Arial" w:cs="Arial"/>
        </w:rPr>
        <w:t xml:space="preserve">ANEXO I. FORMULARIO </w:t>
      </w:r>
      <w:r w:rsidR="008B5A04">
        <w:rPr>
          <w:rFonts w:ascii="Arial" w:hAnsi="Arial" w:cs="Arial"/>
        </w:rPr>
        <w:t>DE PARTICIPACIÓN</w:t>
      </w:r>
    </w:p>
    <w:p w:rsidR="00A551FF" w:rsidRPr="00A551FF" w:rsidRDefault="00A551FF" w:rsidP="00A551FF">
      <w:pPr>
        <w:spacing w:after="120" w:line="257" w:lineRule="auto"/>
        <w:jc w:val="both"/>
        <w:rPr>
          <w:rFonts w:ascii="Arial" w:hAnsi="Arial" w:cs="Arial"/>
        </w:rPr>
      </w:pPr>
    </w:p>
    <w:p w:rsidR="00A551FF" w:rsidRPr="00A551FF" w:rsidRDefault="00A551FF" w:rsidP="00A551FF">
      <w:pPr>
        <w:pStyle w:val="Sinespaciado"/>
        <w:spacing w:after="120" w:line="257" w:lineRule="auto"/>
        <w:rPr>
          <w:rFonts w:ascii="Arial" w:hAnsi="Arial"/>
        </w:rPr>
      </w:pPr>
      <w:r w:rsidRPr="00A551FF">
        <w:rPr>
          <w:rFonts w:ascii="Arial" w:hAnsi="Arial"/>
        </w:rPr>
        <w:t xml:space="preserve">Todos los apartados del formulario deben ser cumplimentados para asegurar su </w:t>
      </w:r>
      <w:r w:rsidR="008B5A04">
        <w:rPr>
          <w:rFonts w:ascii="Arial" w:hAnsi="Arial"/>
        </w:rPr>
        <w:t>toma en consideración y análisis</w:t>
      </w:r>
      <w:r w:rsidRPr="00A551FF">
        <w:rPr>
          <w:rFonts w:ascii="Arial" w:hAnsi="Arial"/>
        </w:rPr>
        <w:t>.</w:t>
      </w:r>
    </w:p>
    <w:tbl>
      <w:tblPr>
        <w:tblStyle w:val="Tabladecuadrcula2-nfasis221"/>
        <w:tblW w:w="5000" w:type="pct"/>
        <w:jc w:val="center"/>
        <w:tblLook w:val="04A0" w:firstRow="1" w:lastRow="0" w:firstColumn="1" w:lastColumn="0" w:noHBand="0" w:noVBand="1"/>
      </w:tblPr>
      <w:tblGrid>
        <w:gridCol w:w="3088"/>
        <w:gridCol w:w="2987"/>
        <w:gridCol w:w="2989"/>
      </w:tblGrid>
      <w:tr w:rsidR="00A551FF" w:rsidRPr="001B7E6C" w:rsidTr="00852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A551FF" w:rsidRPr="001B7E6C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1B7E6C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Datos de la entidad interesada</w:t>
            </w:r>
          </w:p>
        </w:tc>
      </w:tr>
      <w:tr w:rsidR="0085249A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8F6DF3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2060"/>
              </w:rPr>
            </w:pPr>
            <w:r w:rsidRPr="008F6DF3">
              <w:rPr>
                <w:rFonts w:ascii="Arial" w:eastAsia="Times New Roman" w:hAnsi="Arial" w:cs="Arial"/>
                <w:bCs w:val="0"/>
                <w:color w:val="002060"/>
              </w:rPr>
              <w:t>Nombre de la entidad: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8F6DF3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85249A" w:rsidRPr="001B7E6C" w:rsidTr="0085249A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8F6DF3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2060"/>
              </w:rPr>
            </w:pPr>
            <w:r w:rsidRPr="008F6DF3">
              <w:rPr>
                <w:rFonts w:ascii="Arial" w:eastAsia="Times New Roman" w:hAnsi="Arial" w:cs="Arial"/>
                <w:bCs w:val="0"/>
                <w:color w:val="002060"/>
              </w:rPr>
              <w:t>Nombre y apellidos de la persona representante: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8F6DF3" w:rsidRDefault="00A551FF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85249A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8F6DF3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2060"/>
              </w:rPr>
            </w:pPr>
            <w:r w:rsidRPr="008F6DF3">
              <w:rPr>
                <w:rFonts w:ascii="Arial" w:eastAsia="Times New Roman" w:hAnsi="Arial" w:cs="Arial"/>
                <w:bCs w:val="0"/>
                <w:color w:val="002060"/>
              </w:rPr>
              <w:t>Cargo: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8F6DF3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85249A" w:rsidRPr="001B7E6C" w:rsidTr="0085249A">
        <w:trPr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8F6DF3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2060"/>
              </w:rPr>
            </w:pPr>
            <w:r w:rsidRPr="008F6DF3">
              <w:rPr>
                <w:rFonts w:ascii="Arial" w:eastAsia="Times New Roman" w:hAnsi="Arial" w:cs="Arial"/>
                <w:bCs w:val="0"/>
                <w:color w:val="002060"/>
              </w:rPr>
              <w:t>Teléfono: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8F6DF3" w:rsidRDefault="00A551FF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85249A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8F6DF3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2060"/>
              </w:rPr>
            </w:pPr>
            <w:r w:rsidRPr="008F6DF3">
              <w:rPr>
                <w:rFonts w:ascii="Arial" w:eastAsia="Times New Roman" w:hAnsi="Arial" w:cs="Arial"/>
                <w:bCs w:val="0"/>
                <w:color w:val="002060"/>
              </w:rPr>
              <w:t>Correo electrónico: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8F6DF3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1B7E6C" w:rsidRPr="001B7E6C" w:rsidTr="0085249A">
        <w:trPr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E6C" w:rsidRPr="008F6DF3" w:rsidRDefault="001B7E6C" w:rsidP="00A551FF">
            <w:pPr>
              <w:spacing w:after="120" w:line="257" w:lineRule="auto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Principales actividades: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E6C" w:rsidRPr="008F6DF3" w:rsidRDefault="001B7E6C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2060"/>
                <w:sz w:val="22"/>
                <w:szCs w:val="22"/>
              </w:rPr>
            </w:pPr>
          </w:p>
        </w:tc>
      </w:tr>
      <w:tr w:rsidR="00F25DF0" w:rsidRPr="001B7E6C" w:rsidTr="00F25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DF0" w:rsidRPr="008F6DF3" w:rsidRDefault="00803DB5" w:rsidP="00F25DF0">
            <w:pPr>
              <w:spacing w:after="120" w:line="257" w:lineRule="auto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¿Tiene intención de presentarse a la futura licitación relacionada con esta consulta preliminar?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DF0" w:rsidRPr="008F6DF3" w:rsidRDefault="00F25DF0" w:rsidP="00F25DF0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color w:val="002060"/>
                <w:sz w:val="22"/>
                <w:szCs w:val="22"/>
              </w:rPr>
            </w:pPr>
            <w:r w:rsidRPr="008F6DF3">
              <w:rPr>
                <w:rFonts w:ascii="Segoe UI Symbol" w:eastAsia="MS Gothic" w:hAnsi="Segoe UI Symbol" w:cs="Segoe UI Symbol"/>
                <w:color w:val="002060"/>
                <w:sz w:val="22"/>
                <w:szCs w:val="22"/>
              </w:rPr>
              <w:t>☐</w:t>
            </w:r>
            <w:r w:rsidRPr="008F6DF3">
              <w:rPr>
                <w:rFonts w:ascii="Arial" w:hAnsi="Arial" w:cs="Arial"/>
                <w:color w:val="002060"/>
                <w:sz w:val="22"/>
                <w:szCs w:val="22"/>
              </w:rPr>
              <w:t xml:space="preserve"> Sí</w:t>
            </w: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DF0" w:rsidRPr="008F6DF3" w:rsidRDefault="00F25DF0" w:rsidP="00F25DF0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color w:val="002060"/>
                <w:sz w:val="22"/>
                <w:szCs w:val="22"/>
              </w:rPr>
            </w:pPr>
            <w:r w:rsidRPr="008F6DF3">
              <w:rPr>
                <w:rFonts w:ascii="Segoe UI Symbol" w:eastAsia="MS Gothic" w:hAnsi="Segoe UI Symbol" w:cs="Segoe UI Symbol"/>
                <w:color w:val="002060"/>
                <w:sz w:val="22"/>
                <w:szCs w:val="22"/>
              </w:rPr>
              <w:t>☐</w:t>
            </w:r>
            <w:r w:rsidRPr="008F6DF3">
              <w:rPr>
                <w:rFonts w:ascii="Arial" w:hAnsi="Arial" w:cs="Arial"/>
                <w:color w:val="002060"/>
                <w:sz w:val="22"/>
                <w:szCs w:val="22"/>
              </w:rPr>
              <w:t xml:space="preserve"> No</w:t>
            </w:r>
          </w:p>
        </w:tc>
      </w:tr>
      <w:tr w:rsidR="00F25DF0" w:rsidRPr="001B7E6C" w:rsidTr="0085249A">
        <w:trPr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25DF0" w:rsidRPr="001B7E6C" w:rsidRDefault="00812331" w:rsidP="0081233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Descripción de la propuesta de solución</w:t>
            </w:r>
          </w:p>
        </w:tc>
      </w:tr>
      <w:tr w:rsidR="004E31A0" w:rsidRPr="001B7E6C" w:rsidTr="004E31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A0" w:rsidRPr="008F6DF3" w:rsidRDefault="009E0BA7" w:rsidP="004E31A0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CE6CF3" w:rsidRPr="008F6DF3">
              <w:rPr>
                <w:rFonts w:ascii="Arial" w:eastAsia="Times New Roman" w:hAnsi="Arial" w:cs="Arial"/>
                <w:color w:val="002060"/>
              </w:rPr>
              <w:t>ELEMENTOS REFERIDOS AL OBJETO DEL CONTRATO</w:t>
            </w:r>
          </w:p>
        </w:tc>
      </w:tr>
      <w:tr w:rsidR="009E0BA7" w:rsidRPr="001B7E6C" w:rsidTr="004E31A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9E0BA7" w:rsidP="008F6DF3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  <w:t>Contenido y alcance del contrato: breve resumen de la propuesta de intervención que pueda satisfacer la necesidad planteada</w:t>
            </w:r>
          </w:p>
        </w:tc>
      </w:tr>
      <w:tr w:rsidR="004E31A0" w:rsidRPr="001B7E6C" w:rsidTr="009E0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1A0" w:rsidRPr="008F6DF3" w:rsidRDefault="004E31A0" w:rsidP="00F25DF0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  <w:sz w:val="22"/>
                <w:szCs w:val="22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75418" w:rsidP="00E95BC7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lastRenderedPageBreak/>
              <w:t>1.2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  <w:t>Contenido y alcance del contrato: objetivo general y objetivos específicos</w:t>
            </w:r>
          </w:p>
        </w:tc>
      </w:tr>
      <w:tr w:rsidR="00AA1000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00" w:rsidRPr="008F6DF3" w:rsidRDefault="00AA1000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75418" w:rsidP="0012626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1.3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  <w:t>Contenido y alcance del contrato: definición de salida autónoma de las plazas de “</w:t>
            </w:r>
            <w:r w:rsidR="0012626D">
              <w:rPr>
                <w:rFonts w:ascii="Arial" w:eastAsia="Times New Roman" w:hAnsi="Arial" w:cs="Arial"/>
                <w:color w:val="002060"/>
              </w:rPr>
              <w:t>H</w:t>
            </w:r>
            <w:r w:rsidRPr="008F6DF3">
              <w:rPr>
                <w:rFonts w:ascii="Arial" w:eastAsia="Times New Roman" w:hAnsi="Arial" w:cs="Arial"/>
                <w:color w:val="002060"/>
              </w:rPr>
              <w:t xml:space="preserve">ousing </w:t>
            </w:r>
            <w:r w:rsidR="0012626D">
              <w:rPr>
                <w:rFonts w:ascii="Arial" w:eastAsia="Times New Roman" w:hAnsi="Arial" w:cs="Arial"/>
                <w:color w:val="002060"/>
              </w:rPr>
              <w:t>F</w:t>
            </w:r>
            <w:r w:rsidRPr="008F6DF3">
              <w:rPr>
                <w:rFonts w:ascii="Arial" w:eastAsia="Times New Roman" w:hAnsi="Arial" w:cs="Arial"/>
                <w:color w:val="002060"/>
              </w:rPr>
              <w:t>irst”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05EF1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1.4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  <w:t>Contenido y alcance del contrato: número mínimo y máximo de personas a atender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A820F7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7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1.5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  <w:t>Metodología de la intervención: prestaciones específicas y fases de ejecución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7C6459" w:rsidTr="00FE0065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59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1.6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8F6DF3" w:rsidRPr="008F6DF3">
              <w:rPr>
                <w:rFonts w:ascii="Arial" w:eastAsia="Times New Roman" w:hAnsi="Arial" w:cs="Arial"/>
                <w:color w:val="002060"/>
              </w:rPr>
              <w:t>Metodología de la intervención: determinación de la población objetivo y criterios de elegibilidad de la misma, con objeto evitar el sesgo de selección en función de la probabilidad de consecución de los objetivos establecidos</w:t>
            </w:r>
          </w:p>
        </w:tc>
      </w:tr>
      <w:tr w:rsidR="007C6459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59" w:rsidRPr="008F6DF3" w:rsidRDefault="007C6459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A820F7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0F7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1.7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8F6DF3" w:rsidRPr="008F6DF3">
              <w:rPr>
                <w:rFonts w:ascii="Arial" w:eastAsia="Times New Roman" w:hAnsi="Arial" w:cs="Arial"/>
                <w:color w:val="002060"/>
              </w:rPr>
              <w:t>Metodología de la intervención: plazo de ejecución, determinación del inicio del plazo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E95BC7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CC4BBE" w:rsidRPr="00623056" w:rsidTr="00FE0065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205EF1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lastRenderedPageBreak/>
              <w:t>1.8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8F6DF3" w:rsidRPr="008F6DF3">
              <w:rPr>
                <w:rFonts w:ascii="Arial" w:eastAsia="Times New Roman" w:hAnsi="Arial" w:cs="Arial"/>
                <w:color w:val="002060"/>
              </w:rPr>
              <w:t>Metodología de la intervención: obligaciones de la entidad adjudicataria.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CC4BBE" w:rsidRPr="00997B2D" w:rsidTr="00FE0065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205EF1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1.9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8F6DF3" w:rsidRPr="008F6DF3">
              <w:rPr>
                <w:rFonts w:ascii="Arial" w:eastAsia="Times New Roman" w:hAnsi="Arial" w:cs="Arial"/>
                <w:color w:val="002060"/>
              </w:rPr>
              <w:t>Metodología de la intervención: determinación del caso de éxito, dimensiones o atributos a tener en cuenta, indicadores y estándares de resultados y de impacto relevantes</w:t>
            </w:r>
          </w:p>
        </w:tc>
      </w:tr>
      <w:tr w:rsidR="00CC4BBE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BE" w:rsidRPr="008F6DF3" w:rsidRDefault="00CC4BBE" w:rsidP="00FE0065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05EF1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1.10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8F6DF3" w:rsidRPr="008F6DF3">
              <w:rPr>
                <w:rFonts w:ascii="Arial" w:eastAsia="Times New Roman" w:hAnsi="Arial" w:cs="Arial"/>
                <w:color w:val="002060"/>
              </w:rPr>
              <w:t>Régimen económico: cálculo del precio del contrato (en función de las prestaciones específicas, en función de los medios personales empleados, etc.)</w:t>
            </w:r>
          </w:p>
        </w:tc>
      </w:tr>
      <w:tr w:rsidR="00997B2D" w:rsidRPr="001B7E6C" w:rsidTr="00623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997B2D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05EF1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1.11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Régimen económico: remuneración a obtener por la entidad proveedora del servicio y por la entidad financiadora</w:t>
            </w:r>
          </w:p>
        </w:tc>
      </w:tr>
      <w:tr w:rsidR="00997B2D" w:rsidRPr="001B7E6C" w:rsidTr="00CB7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997B2D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CB7616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05EF1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1.12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Régimen económico: cálculo del pago por caso de éxito, régimen de pagos (intermedios, final, etc.)</w:t>
            </w:r>
          </w:p>
        </w:tc>
      </w:tr>
      <w:tr w:rsidR="00997B2D" w:rsidRPr="001B7E6C" w:rsidTr="00CB7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997B2D" w:rsidP="00997B2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97B2D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B2D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1.13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Medios personales a emplear en la ejecución del contrato</w:t>
            </w:r>
          </w:p>
        </w:tc>
      </w:tr>
      <w:tr w:rsidR="009E0BA7" w:rsidRPr="001B7E6C" w:rsidTr="002B5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9E0BA7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E0BA7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205EF1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lastRenderedPageBreak/>
              <w:t>1.14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Evaluación: metodología a utilizar, orientada a resultados e impacto, así como a la escalabilidad y replicabilidad de la intervención</w:t>
            </w:r>
          </w:p>
        </w:tc>
      </w:tr>
      <w:tr w:rsidR="009E0BA7" w:rsidRPr="001B7E6C" w:rsidTr="00C03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9E0BA7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E0BA7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205EF1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1.15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Evaluación: posibilidad de realizar una evaluación contrafactual</w:t>
            </w:r>
          </w:p>
        </w:tc>
      </w:tr>
      <w:tr w:rsidR="009E0BA7" w:rsidRPr="001B7E6C" w:rsidTr="002A77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9E0BA7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9E0BA7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BA7" w:rsidRPr="008F6DF3" w:rsidRDefault="00205EF1" w:rsidP="009E0BA7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1.16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>Evaluación: coste previsto de la evaluación e implementación de la misma a lo largo de la intervención y en el momento final de la misma</w:t>
            </w:r>
          </w:p>
        </w:tc>
      </w:tr>
      <w:tr w:rsidR="00205EF1" w:rsidRPr="004E31A0" w:rsidTr="00FE0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FA5F80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1.17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FA5F80" w:rsidRPr="00FA5F80">
              <w:rPr>
                <w:rFonts w:ascii="Arial" w:eastAsia="Times New Roman" w:hAnsi="Arial" w:cs="Arial"/>
                <w:color w:val="002060"/>
              </w:rPr>
              <w:t xml:space="preserve">Otros elementos referidos </w:t>
            </w:r>
            <w:r w:rsidR="00FA5F80">
              <w:rPr>
                <w:rFonts w:ascii="Arial" w:eastAsia="Times New Roman" w:hAnsi="Arial" w:cs="Arial"/>
                <w:color w:val="002060"/>
              </w:rPr>
              <w:t>al objeto del contrato, distintos de los anteriores</w:t>
            </w:r>
          </w:p>
        </w:tc>
      </w:tr>
      <w:tr w:rsidR="00205EF1" w:rsidRPr="001B7E6C" w:rsidTr="002A77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AC6F18">
        <w:trPr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CE6CF3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CE6CF3" w:rsidRPr="00CE6CF3">
              <w:rPr>
                <w:rFonts w:ascii="Arial" w:eastAsia="Times New Roman" w:hAnsi="Arial" w:cs="Arial"/>
                <w:color w:val="002060"/>
              </w:rPr>
              <w:t>ELEMENTOS REFERIDOS A LA LICITACIÓN Y GOBERNANZA DEL CIS</w:t>
            </w:r>
          </w:p>
        </w:tc>
      </w:tr>
      <w:tr w:rsidR="00205EF1" w:rsidRPr="001B7E6C" w:rsidTr="00AC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2.1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CE6CF3" w:rsidRPr="00CE6CF3">
              <w:rPr>
                <w:rFonts w:ascii="Arial" w:eastAsia="Times New Roman" w:hAnsi="Arial" w:cs="Arial"/>
                <w:color w:val="002060"/>
              </w:rPr>
              <w:t>Inserción de la entidad financiadora en el contrato: como acreditación de la solvencia, como condición especial de adjudicación, etc.</w:t>
            </w:r>
          </w:p>
        </w:tc>
      </w:tr>
      <w:tr w:rsidR="00205EF1" w:rsidRPr="001B7E6C" w:rsidTr="00042933">
        <w:trPr>
          <w:cantSplit/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2.2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CE6CF3" w:rsidRPr="00CE6CF3">
              <w:rPr>
                <w:rFonts w:ascii="Arial" w:eastAsia="Times New Roman" w:hAnsi="Arial" w:cs="Arial"/>
                <w:color w:val="002060"/>
              </w:rPr>
              <w:t>Inserción de la entidad financiadora en el contrato: relación jurídica con la entidad proveedora del servicio (UTE, consorcio, acuerdo privado, etc.)</w:t>
            </w:r>
          </w:p>
        </w:tc>
      </w:tr>
      <w:tr w:rsidR="00205EF1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2.3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 w:rsidRPr="001D1F5F">
              <w:rPr>
                <w:rFonts w:ascii="Arial" w:eastAsia="Times New Roman" w:hAnsi="Arial" w:cs="Arial"/>
                <w:color w:val="002060"/>
              </w:rPr>
              <w:t>Inserción de la entidad financiadora en el contrato: papel a desempeñar en el seguimiento de la intervención objeto del contrato</w:t>
            </w:r>
          </w:p>
        </w:tc>
      </w:tr>
      <w:tr w:rsidR="00205EF1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2.4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 w:rsidRPr="001D1F5F">
              <w:rPr>
                <w:rFonts w:ascii="Arial" w:eastAsia="Times New Roman" w:hAnsi="Arial" w:cs="Arial"/>
                <w:color w:val="002060"/>
              </w:rPr>
              <w:t>Inserción de la entidad financiadora en el contrato: aspectos a regular en el contrato</w:t>
            </w:r>
          </w:p>
        </w:tc>
      </w:tr>
      <w:tr w:rsidR="00205EF1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205EF1" w:rsidRPr="001B7E6C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F1" w:rsidRPr="008F6DF3" w:rsidRDefault="00205EF1" w:rsidP="00205EF1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2.5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 w:rsidRPr="001D1F5F">
              <w:rPr>
                <w:rFonts w:ascii="Arial" w:eastAsia="Times New Roman" w:hAnsi="Arial" w:cs="Arial"/>
                <w:color w:val="002060"/>
              </w:rPr>
              <w:t>Criterios objetivos de adjudicación del contrato: criterios cualitativos evaluables de forma automática mediante aplicación de fórmulas, a incluir en el pliego de cláusulas administrativas particulares</w:t>
            </w:r>
          </w:p>
        </w:tc>
      </w:tr>
      <w:tr w:rsidR="0041317D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41317D" w:rsidRPr="001B7E6C" w:rsidTr="00413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2.6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 w:rsidRPr="001D1F5F">
              <w:rPr>
                <w:rFonts w:ascii="Arial" w:eastAsia="Times New Roman" w:hAnsi="Arial" w:cs="Arial"/>
                <w:color w:val="002060"/>
              </w:rPr>
              <w:t>Criterios objetivos de adjudicación del contrato: criterios cualitativos cuya cuantificación dependa de un juicio de valor, a incluir en el pliego de cláusulas administrativas particulares</w:t>
            </w:r>
          </w:p>
        </w:tc>
      </w:tr>
      <w:tr w:rsidR="0041317D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41317D" w:rsidRPr="001B7E6C" w:rsidTr="00413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2.7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 w:rsidRPr="001D1F5F">
              <w:rPr>
                <w:rFonts w:ascii="Arial" w:eastAsia="Times New Roman" w:hAnsi="Arial" w:cs="Arial"/>
                <w:color w:val="002060"/>
              </w:rPr>
              <w:t>Otros elementos referidos a la licitación y gobernanza del CIS</w:t>
            </w:r>
            <w:r w:rsidR="001D1F5F">
              <w:rPr>
                <w:rFonts w:ascii="Arial" w:eastAsia="Times New Roman" w:hAnsi="Arial" w:cs="Arial"/>
                <w:color w:val="002060"/>
              </w:rPr>
              <w:t>, distintos de los anteriores</w:t>
            </w:r>
          </w:p>
        </w:tc>
      </w:tr>
      <w:tr w:rsidR="0041317D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  <w:tr w:rsidR="0041317D" w:rsidRPr="001B7E6C" w:rsidTr="00413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2060"/>
              </w:rPr>
            </w:pPr>
            <w:r w:rsidRPr="008F6DF3">
              <w:rPr>
                <w:rFonts w:ascii="Arial" w:eastAsia="Times New Roman" w:hAnsi="Arial" w:cs="Arial"/>
                <w:color w:val="002060"/>
              </w:rPr>
              <w:t>3.</w:t>
            </w:r>
            <w:r w:rsidRPr="008F6DF3">
              <w:rPr>
                <w:rFonts w:ascii="Arial" w:eastAsia="Times New Roman" w:hAnsi="Arial" w:cs="Arial"/>
                <w:color w:val="002060"/>
              </w:rPr>
              <w:tab/>
            </w:r>
            <w:r w:rsidR="001D1F5F">
              <w:rPr>
                <w:rFonts w:ascii="Arial" w:eastAsia="Times New Roman" w:hAnsi="Arial" w:cs="Arial"/>
                <w:color w:val="002060"/>
              </w:rPr>
              <w:t>OTRAS CUESTIONES A CONSIDERAR, DISTINTAS DE LAS ANTERIORES</w:t>
            </w:r>
          </w:p>
        </w:tc>
      </w:tr>
      <w:tr w:rsidR="0041317D" w:rsidRPr="001B7E6C" w:rsidTr="00205EF1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7D" w:rsidRPr="008F6DF3" w:rsidRDefault="0041317D" w:rsidP="0041317D">
            <w:pPr>
              <w:spacing w:after="120" w:line="257" w:lineRule="auto"/>
              <w:jc w:val="both"/>
              <w:rPr>
                <w:rFonts w:ascii="Arial" w:eastAsia="Times New Roman" w:hAnsi="Arial" w:cs="Arial"/>
                <w:b w:val="0"/>
                <w:color w:val="002060"/>
              </w:rPr>
            </w:pPr>
          </w:p>
        </w:tc>
      </w:tr>
    </w:tbl>
    <w:p w:rsidR="009E0030" w:rsidRPr="00A551FF" w:rsidRDefault="009E0030" w:rsidP="00A551FF">
      <w:pPr>
        <w:shd w:val="clear" w:color="auto" w:fill="FFFFFF" w:themeFill="background1"/>
        <w:spacing w:after="120" w:line="257" w:lineRule="auto"/>
        <w:jc w:val="both"/>
        <w:rPr>
          <w:rFonts w:ascii="Arial" w:hAnsi="Arial" w:cs="Arial"/>
          <w:kern w:val="3"/>
        </w:rPr>
      </w:pPr>
    </w:p>
    <w:sectPr w:rsidR="009E0030" w:rsidRPr="00A551FF" w:rsidSect="00A6147B">
      <w:headerReference w:type="default" r:id="rId7"/>
      <w:footerReference w:type="default" r:id="rId8"/>
      <w:pgSz w:w="11910" w:h="16840" w:code="9"/>
      <w:pgMar w:top="2268" w:right="1418" w:bottom="567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C4" w:rsidRDefault="00AE1CC4" w:rsidP="000165B4">
      <w:r>
        <w:separator/>
      </w:r>
    </w:p>
  </w:endnote>
  <w:endnote w:type="continuationSeparator" w:id="0">
    <w:p w:rsidR="00AE1CC4" w:rsidRDefault="00AE1CC4" w:rsidP="0001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PT Book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252" w:rsidRDefault="00A6147B" w:rsidP="00A25805">
    <w:pPr>
      <w:pStyle w:val="Piedepgina"/>
      <w:jc w:val="center"/>
    </w:pPr>
    <w:r>
      <w:rPr>
        <w:rFonts w:ascii="Arial" w:hAnsi="Arial" w:cs="Arial"/>
        <w:sz w:val="20"/>
        <w:szCs w:val="20"/>
      </w:rPr>
      <w:t xml:space="preserve">Página </w:t>
    </w:r>
    <w:r w:rsidRPr="00A6147B">
      <w:rPr>
        <w:rFonts w:ascii="Arial" w:hAnsi="Arial" w:cs="Arial"/>
        <w:sz w:val="20"/>
        <w:szCs w:val="20"/>
      </w:rPr>
      <w:fldChar w:fldCharType="begin"/>
    </w:r>
    <w:r w:rsidRPr="00A6147B">
      <w:rPr>
        <w:rFonts w:ascii="Arial" w:hAnsi="Arial" w:cs="Arial"/>
        <w:sz w:val="20"/>
        <w:szCs w:val="20"/>
      </w:rPr>
      <w:instrText>PAGE   \* MERGEFORMAT</w:instrText>
    </w:r>
    <w:r w:rsidRPr="00A6147B">
      <w:rPr>
        <w:rFonts w:ascii="Arial" w:hAnsi="Arial" w:cs="Arial"/>
        <w:sz w:val="20"/>
        <w:szCs w:val="20"/>
      </w:rPr>
      <w:fldChar w:fldCharType="separate"/>
    </w:r>
    <w:r w:rsidR="0012626D">
      <w:rPr>
        <w:rFonts w:ascii="Arial" w:hAnsi="Arial" w:cs="Arial"/>
        <w:noProof/>
        <w:sz w:val="20"/>
        <w:szCs w:val="20"/>
      </w:rPr>
      <w:t>1</w:t>
    </w:r>
    <w:r w:rsidRPr="00A6147B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de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  \* MERGEFORMAT </w:instrText>
    </w:r>
    <w:r>
      <w:rPr>
        <w:rFonts w:ascii="Arial" w:hAnsi="Arial" w:cs="Arial"/>
        <w:sz w:val="20"/>
        <w:szCs w:val="20"/>
      </w:rPr>
      <w:fldChar w:fldCharType="separate"/>
    </w:r>
    <w:r w:rsidR="0012626D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C4" w:rsidRDefault="00AE1CC4" w:rsidP="000165B4">
      <w:r>
        <w:separator/>
      </w:r>
    </w:p>
  </w:footnote>
  <w:footnote w:type="continuationSeparator" w:id="0">
    <w:p w:rsidR="00AE1CC4" w:rsidRDefault="00AE1CC4" w:rsidP="00016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FD3" w:rsidRPr="00C229BF" w:rsidRDefault="00997B2D" w:rsidP="00C229BF">
    <w:pPr>
      <w:pStyle w:val="Encabezado"/>
      <w:spacing w:after="120" w:line="259" w:lineRule="auto"/>
      <w:rPr>
        <w:rFonts w:ascii="Arial" w:hAnsi="Arial" w:cs="Arial"/>
      </w:rPr>
    </w:pPr>
    <w:r>
      <w:rPr>
        <w:noProof/>
        <w:lang w:eastAsia="es-ES"/>
      </w:rPr>
      <w:drawing>
        <wp:inline distT="0" distB="0" distL="0" distR="0" wp14:anchorId="1F011EDA" wp14:editId="09095EF9">
          <wp:extent cx="5725160" cy="715645"/>
          <wp:effectExtent l="0" t="0" r="0" b="0"/>
          <wp:docPr id="1" name="Imagen 1" descr="Logos M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 M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FD3" w:rsidRPr="00C229BF" w:rsidRDefault="009D5FD3" w:rsidP="00C229BF">
    <w:pPr>
      <w:spacing w:after="120" w:line="259" w:lineRule="aut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055FF"/>
    <w:multiLevelType w:val="hybridMultilevel"/>
    <w:tmpl w:val="DEEEDC3E"/>
    <w:lvl w:ilvl="0" w:tplc="0C0A0001">
      <w:start w:val="1"/>
      <w:numFmt w:val="bullet"/>
      <w:lvlText w:val=""/>
      <w:lvlJc w:val="left"/>
      <w:pPr>
        <w:ind w:left="208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8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01"/>
    <w:rsid w:val="00003BCB"/>
    <w:rsid w:val="000165B4"/>
    <w:rsid w:val="00042933"/>
    <w:rsid w:val="00071152"/>
    <w:rsid w:val="00084035"/>
    <w:rsid w:val="000C45B4"/>
    <w:rsid w:val="0012342A"/>
    <w:rsid w:val="0012626D"/>
    <w:rsid w:val="00165AFA"/>
    <w:rsid w:val="001B7E6C"/>
    <w:rsid w:val="001D1F5F"/>
    <w:rsid w:val="001D7408"/>
    <w:rsid w:val="001E3C6C"/>
    <w:rsid w:val="001E7706"/>
    <w:rsid w:val="00205EF1"/>
    <w:rsid w:val="00207DC3"/>
    <w:rsid w:val="00214157"/>
    <w:rsid w:val="00275418"/>
    <w:rsid w:val="002770D2"/>
    <w:rsid w:val="002A77B6"/>
    <w:rsid w:val="002B557B"/>
    <w:rsid w:val="002E5222"/>
    <w:rsid w:val="00342E1B"/>
    <w:rsid w:val="00367022"/>
    <w:rsid w:val="003B6FDE"/>
    <w:rsid w:val="003C1AA2"/>
    <w:rsid w:val="003E4C0F"/>
    <w:rsid w:val="0041317D"/>
    <w:rsid w:val="00444022"/>
    <w:rsid w:val="00447354"/>
    <w:rsid w:val="004544AF"/>
    <w:rsid w:val="00456A03"/>
    <w:rsid w:val="004D605B"/>
    <w:rsid w:val="004E31A0"/>
    <w:rsid w:val="00500A7C"/>
    <w:rsid w:val="005034BA"/>
    <w:rsid w:val="00543CB1"/>
    <w:rsid w:val="00622A09"/>
    <w:rsid w:val="00623056"/>
    <w:rsid w:val="00634E98"/>
    <w:rsid w:val="006376BD"/>
    <w:rsid w:val="00655CA9"/>
    <w:rsid w:val="006855E6"/>
    <w:rsid w:val="006D53EF"/>
    <w:rsid w:val="006E55CE"/>
    <w:rsid w:val="00706C2D"/>
    <w:rsid w:val="007075F8"/>
    <w:rsid w:val="007355E8"/>
    <w:rsid w:val="00757EAE"/>
    <w:rsid w:val="0076204F"/>
    <w:rsid w:val="007A26B4"/>
    <w:rsid w:val="007B3936"/>
    <w:rsid w:val="007B6E3A"/>
    <w:rsid w:val="007C6459"/>
    <w:rsid w:val="007D2EC0"/>
    <w:rsid w:val="00803DB5"/>
    <w:rsid w:val="00812331"/>
    <w:rsid w:val="00826F3F"/>
    <w:rsid w:val="00832E65"/>
    <w:rsid w:val="0085008A"/>
    <w:rsid w:val="0085249A"/>
    <w:rsid w:val="00876AD0"/>
    <w:rsid w:val="008815E2"/>
    <w:rsid w:val="008878BE"/>
    <w:rsid w:val="00893F11"/>
    <w:rsid w:val="0089464C"/>
    <w:rsid w:val="008B5A04"/>
    <w:rsid w:val="008B6065"/>
    <w:rsid w:val="008E3E05"/>
    <w:rsid w:val="008F36A6"/>
    <w:rsid w:val="008F6DF3"/>
    <w:rsid w:val="0090078D"/>
    <w:rsid w:val="009523D2"/>
    <w:rsid w:val="00997501"/>
    <w:rsid w:val="00997B2D"/>
    <w:rsid w:val="009B0AE1"/>
    <w:rsid w:val="009C77A7"/>
    <w:rsid w:val="009D5FD3"/>
    <w:rsid w:val="009E0030"/>
    <w:rsid w:val="009E0BA7"/>
    <w:rsid w:val="009E45E2"/>
    <w:rsid w:val="00A06280"/>
    <w:rsid w:val="00A25805"/>
    <w:rsid w:val="00A551FF"/>
    <w:rsid w:val="00A6147B"/>
    <w:rsid w:val="00A820F7"/>
    <w:rsid w:val="00A903A5"/>
    <w:rsid w:val="00AA1000"/>
    <w:rsid w:val="00AA1CBD"/>
    <w:rsid w:val="00AC6F18"/>
    <w:rsid w:val="00AE1CC4"/>
    <w:rsid w:val="00AE4924"/>
    <w:rsid w:val="00AF0F96"/>
    <w:rsid w:val="00B206CE"/>
    <w:rsid w:val="00B22319"/>
    <w:rsid w:val="00B61AF4"/>
    <w:rsid w:val="00BA38A7"/>
    <w:rsid w:val="00BA62F4"/>
    <w:rsid w:val="00BB4520"/>
    <w:rsid w:val="00BC5422"/>
    <w:rsid w:val="00BF5F66"/>
    <w:rsid w:val="00C03022"/>
    <w:rsid w:val="00C229BF"/>
    <w:rsid w:val="00C30504"/>
    <w:rsid w:val="00C36CA8"/>
    <w:rsid w:val="00CB7616"/>
    <w:rsid w:val="00CC4BBE"/>
    <w:rsid w:val="00CC74F7"/>
    <w:rsid w:val="00CE6CF3"/>
    <w:rsid w:val="00D07756"/>
    <w:rsid w:val="00D10262"/>
    <w:rsid w:val="00D30B1C"/>
    <w:rsid w:val="00D40F50"/>
    <w:rsid w:val="00D97F78"/>
    <w:rsid w:val="00DA500B"/>
    <w:rsid w:val="00DF7463"/>
    <w:rsid w:val="00E21531"/>
    <w:rsid w:val="00E56147"/>
    <w:rsid w:val="00E95BC7"/>
    <w:rsid w:val="00EA2AA2"/>
    <w:rsid w:val="00EC0252"/>
    <w:rsid w:val="00ED4C82"/>
    <w:rsid w:val="00EE4FE0"/>
    <w:rsid w:val="00F04FD6"/>
    <w:rsid w:val="00F22722"/>
    <w:rsid w:val="00F25DF0"/>
    <w:rsid w:val="00F408F6"/>
    <w:rsid w:val="00F60446"/>
    <w:rsid w:val="00F95C20"/>
    <w:rsid w:val="00FA5F80"/>
    <w:rsid w:val="00FE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A8CE334"/>
  <w15:docId w15:val="{BD01250E-FF56-40DE-BEE2-048DB54A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1094"/>
      <w:outlineLvl w:val="0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3C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1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0165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65B4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165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65B4"/>
    <w:rPr>
      <w:rFonts w:ascii="Calibri" w:eastAsia="Calibri" w:hAnsi="Calibri" w:cs="Calibri"/>
      <w:lang w:val="es-ES"/>
    </w:rPr>
  </w:style>
  <w:style w:type="paragraph" w:customStyle="1" w:styleId="InformeReuninNormal">
    <w:name w:val="InformeReuniónNormal"/>
    <w:basedOn w:val="Normal"/>
    <w:link w:val="InformeReuninNormalCar"/>
    <w:rsid w:val="007075F8"/>
    <w:pPr>
      <w:keepLines/>
      <w:widowControl/>
      <w:tabs>
        <w:tab w:val="left" w:pos="284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spacing w:after="120" w:line="30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InformeReuninNormalCar">
    <w:name w:val="InformeReuniónNormal Car"/>
    <w:link w:val="InformeReuninNormal"/>
    <w:rsid w:val="007075F8"/>
    <w:rPr>
      <w:rFonts w:ascii="Arial" w:eastAsia="Times New Roman" w:hAnsi="Arial" w:cs="Times New Roman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3C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003BCB"/>
    <w:rPr>
      <w:color w:val="0000FF" w:themeColor="hyperlink"/>
      <w:u w:val="single"/>
    </w:rPr>
  </w:style>
  <w:style w:type="table" w:customStyle="1" w:styleId="Tabladecuadrcula2-nfasis221">
    <w:name w:val="Tabla de cuadrícula 2 - Énfasis 221"/>
    <w:basedOn w:val="Tablanormal"/>
    <w:next w:val="Tablanormal"/>
    <w:uiPriority w:val="47"/>
    <w:rsid w:val="00A551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2" w:space="0" w:color="D99594"/>
        <w:bottom w:val="single" w:sz="2" w:space="0" w:color="D99594"/>
        <w:insideH w:val="single" w:sz="2" w:space="0" w:color="D99594"/>
        <w:insideV w:val="single" w:sz="2" w:space="0" w:color="D99594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9959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inespaciado">
    <w:name w:val="No Spacing"/>
    <w:uiPriority w:val="1"/>
    <w:qFormat/>
    <w:rsid w:val="00A551FF"/>
    <w:pPr>
      <w:keepNext/>
      <w:widowControl/>
      <w:shd w:val="clear" w:color="auto" w:fill="FFFFFF"/>
      <w:suppressAutoHyphens/>
      <w:autoSpaceDE/>
      <w:autoSpaceDN/>
      <w:jc w:val="both"/>
      <w:textAlignment w:val="baseline"/>
    </w:pPr>
    <w:rPr>
      <w:rFonts w:ascii="Garamond" w:eastAsia="Arial" w:hAnsi="Garamond" w:cs="Arial"/>
      <w:lang w:val="es-ES" w:eastAsia="es-ES"/>
    </w:rPr>
  </w:style>
  <w:style w:type="paragraph" w:customStyle="1" w:styleId="EstiloSILO">
    <w:name w:val="Estilo SILO"/>
    <w:basedOn w:val="Normal"/>
    <w:link w:val="EstiloSILOCar"/>
    <w:qFormat/>
    <w:rsid w:val="008B5A04"/>
    <w:pPr>
      <w:widowControl/>
      <w:autoSpaceDE/>
      <w:autoSpaceDN/>
      <w:spacing w:before="120" w:line="259" w:lineRule="auto"/>
      <w:ind w:left="-57" w:right="-284"/>
      <w:jc w:val="both"/>
    </w:pPr>
    <w:rPr>
      <w:rFonts w:ascii="Futura PT Book" w:eastAsiaTheme="minorHAnsi" w:hAnsi="Futura PT Book" w:cstheme="minorBidi"/>
      <w:sz w:val="24"/>
    </w:rPr>
  </w:style>
  <w:style w:type="character" w:customStyle="1" w:styleId="EstiloSILOCar">
    <w:name w:val="Estilo SILO Car"/>
    <w:basedOn w:val="Fuentedeprrafopredeter"/>
    <w:link w:val="EstiloSILO"/>
    <w:rsid w:val="008B5A04"/>
    <w:rPr>
      <w:rFonts w:ascii="Futura PT Book" w:hAnsi="Futura PT Book"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586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CARBONELL, IVAN</dc:creator>
  <cp:lastModifiedBy>MOLINA CARBONELL, IVAN</cp:lastModifiedBy>
  <cp:revision>10</cp:revision>
  <cp:lastPrinted>2021-11-29T06:53:00Z</cp:lastPrinted>
  <dcterms:created xsi:type="dcterms:W3CDTF">2023-03-16T09:13:00Z</dcterms:created>
  <dcterms:modified xsi:type="dcterms:W3CDTF">2023-04-06T22:54:00Z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2021-11-17T00:00:00Z</vt:filetime>
  </property>
</Properties>
</file>