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D47424" w:rsidRDefault="00DE548D">
      <w:pPr>
        <w:pStyle w:val="Ttulo3"/>
        <w:spacing w:before="30"/>
        <w:rPr>
          <w:b w:val="0"/>
          <w:sz w:val="22"/>
          <w:szCs w:val="22"/>
        </w:rPr>
      </w:pPr>
      <w:r w:rsidRPr="00DE548D">
        <w:rPr>
          <w:b w:val="0"/>
          <w:sz w:val="22"/>
          <w:szCs w:val="22"/>
        </w:rPr>
        <w:lastRenderedPageBreak/>
        <w:t>CONTRATO DE SERVICIO DE AGENCIA DE VIAJES PARA LA FUNDACIÓN PARA LA INVESTIGACIÓN BIOMÉDICA DEL HOSPITAL UNIVERSITARIO LA PAZ A ADJUDICAR POR PROCEDIMIENTO ABIERTO MEDIANTE PLURALIDAD DE CRITERIOS. PA 06-2023.</w:t>
      </w:r>
    </w:p>
    <w:p w:rsidR="00DE548D" w:rsidRDefault="00DE548D">
      <w:pPr>
        <w:pStyle w:val="Ttulo3"/>
        <w:spacing w:before="30"/>
        <w:rPr>
          <w:b w:val="0"/>
          <w:sz w:val="22"/>
          <w:szCs w:val="22"/>
        </w:rPr>
      </w:pP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A41E55" w:rsidRDefault="00DE548D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  <w:r w:rsidRPr="00DE548D">
        <w:rPr>
          <w:b w:val="0"/>
          <w:sz w:val="22"/>
          <w:szCs w:val="22"/>
        </w:rPr>
        <w:t>CONTRATO DE SERVICIO DE AGENCIA DE VIAJES PARA LA FUNDACIÓN PARA LA INVESTIGACIÓN BIOMÉDICA DEL HOSPITAL UNIVERSITARIO LA PAZ A ADJUDICAR POR PROCEDIMIENTO ABIERTO MEDIANTE PLURALIDAD DE CRITERIOS. PA 06-2023.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DE548D">
        <w:rPr>
          <w:w w:val="110"/>
        </w:rPr>
        <w:t>06</w:t>
      </w:r>
      <w:r>
        <w:rPr>
          <w:w w:val="110"/>
        </w:rPr>
        <w:t>-</w:t>
      </w:r>
      <w:r w:rsidR="00DE548D">
        <w:rPr>
          <w:w w:val="110"/>
        </w:rPr>
        <w:t>2023.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</w:t>
      </w:r>
      <w:bookmarkStart w:id="0" w:name="_GoBack"/>
      <w:bookmarkEnd w:id="0"/>
      <w:r>
        <w:rPr>
          <w:rFonts w:ascii="Trebuchet MS"/>
          <w:b/>
          <w:w w:val="120"/>
          <w:sz w:val="24"/>
        </w:rPr>
        <w:t>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lastRenderedPageBreak/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lastRenderedPageBreak/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3FCA">
                            <w:rPr>
                              <w:rFonts w:ascii="Arial MT"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3FCA">
                      <w:rPr>
                        <w:rFonts w:ascii="Arial MT"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3FCA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3FCA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3FCA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3FCA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34223"/>
    <w:rsid w:val="002E2907"/>
    <w:rsid w:val="007732B0"/>
    <w:rsid w:val="008A057A"/>
    <w:rsid w:val="00954700"/>
    <w:rsid w:val="009E353C"/>
    <w:rsid w:val="00A41E55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4275</Words>
  <Characters>23515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8</cp:revision>
  <dcterms:created xsi:type="dcterms:W3CDTF">2021-11-04T09:52:00Z</dcterms:created>
  <dcterms:modified xsi:type="dcterms:W3CDTF">2023-05-30T11:29:00Z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