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4A960FA4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861F4B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0757135D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 w:rsidR="00A67AEA">
        <w:rPr>
          <w:rFonts w:asciiTheme="minorHAnsi" w:hAnsiTheme="minorHAnsi" w:cstheme="minorHAnsi"/>
          <w:sz w:val="22"/>
          <w:szCs w:val="22"/>
        </w:rPr>
        <w:t xml:space="preserve"> las referencias </w:t>
      </w:r>
      <w:r w:rsidRPr="00250456">
        <w:rPr>
          <w:rFonts w:asciiTheme="minorHAnsi" w:hAnsiTheme="minorHAnsi" w:cstheme="minorHAnsi"/>
          <w:sz w:val="22"/>
          <w:szCs w:val="22"/>
        </w:rPr>
        <w:t>actualmente homologad</w:t>
      </w:r>
      <w:r w:rsidR="00A67AEA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1FBD89A4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  <w:r w:rsidR="0051266C">
        <w:rPr>
          <w:rFonts w:asciiTheme="minorHAnsi" w:hAnsiTheme="minorHAnsi" w:cstheme="minorHAnsi"/>
          <w:sz w:val="22"/>
          <w:szCs w:val="22"/>
        </w:rPr>
        <w:t xml:space="preserve"> del fabricante homologado</w:t>
      </w:r>
      <w:r w:rsidR="00A67AEA">
        <w:rPr>
          <w:rFonts w:asciiTheme="minorHAnsi" w:hAnsiTheme="minorHAnsi" w:cstheme="minorHAnsi"/>
          <w:sz w:val="22"/>
          <w:szCs w:val="22"/>
        </w:rPr>
        <w:t>.</w:t>
      </w:r>
    </w:p>
    <w:p w14:paraId="4097A3AF" w14:textId="2F77C1D0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0B70A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las </w:t>
      </w:r>
      <w:r w:rsidR="00A67AEA" w:rsidRPr="000B70A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catorce (14) </w:t>
      </w:r>
      <w:r w:rsidRPr="000B70A6">
        <w:rPr>
          <w:rFonts w:asciiTheme="minorHAnsi" w:hAnsiTheme="minorHAnsi" w:cstheme="minorHAnsi"/>
          <w:b/>
          <w:bCs/>
          <w:sz w:val="22"/>
          <w:szCs w:val="22"/>
          <w:u w:val="single"/>
        </w:rPr>
        <w:t>semanas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corresponderán a los que a continuación se indican: </w:t>
      </w:r>
    </w:p>
    <w:tbl>
      <w:tblPr>
        <w:tblW w:w="949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684"/>
        <w:gridCol w:w="1732"/>
        <w:gridCol w:w="3544"/>
        <w:gridCol w:w="1559"/>
        <w:gridCol w:w="1559"/>
      </w:tblGrid>
      <w:tr w:rsidR="00A67AEA" w:rsidRPr="009A65B0" w14:paraId="6BE7C0B0" w14:textId="77777777" w:rsidTr="005E5D24">
        <w:trPr>
          <w:trHeight w:val="87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27193B03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proofErr w:type="spellStart"/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Pos</w:t>
            </w:r>
            <w:proofErr w:type="spell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0DF9A2D5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3CE87675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del material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14:paraId="3D153F5F" w14:textId="24734B1A" w:rsidR="00A67AEA" w:rsidRPr="009A65B0" w:rsidRDefault="00995E25" w:rsidP="00995E25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Fabricante y referencia homologada BOCHUMER VEREIN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</w:tcPr>
          <w:p w14:paraId="732CE352" w14:textId="77777777" w:rsidR="00A67AEA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Plazo máximo de suministro</w:t>
            </w:r>
          </w:p>
          <w:p w14:paraId="1C19A964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(SEMANAS)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14:paraId="1F842AAF" w14:textId="77777777" w:rsidR="00A67AEA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Plazo de suministro (</w:t>
            </w: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SEMANAS</w:t>
            </w: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)</w:t>
            </w:r>
          </w:p>
          <w:p w14:paraId="2C664EBF" w14:textId="77777777" w:rsidR="00A67AEA" w:rsidRPr="009A65B0" w:rsidRDefault="00A67AEA" w:rsidP="005E5D24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(</w:t>
            </w: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*</w:t>
            </w: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337C73" w:rsidRPr="009A65B0" w14:paraId="1031C46B" w14:textId="77777777" w:rsidTr="005E5D24">
        <w:trPr>
          <w:trHeight w:val="13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4D80ED5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</w:t>
            </w:r>
            <w:r w:rsidRPr="009A65B0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5FBDD49F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73430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14:paraId="1092D066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26AE7">
              <w:rPr>
                <w:rFonts w:eastAsia="Times New Roman"/>
                <w:color w:val="000000"/>
                <w:sz w:val="18"/>
                <w:szCs w:val="18"/>
              </w:rPr>
              <w:t>TACO DE GOMA-RUEDA ELÁSTICA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18E0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DATOS ADICIONALES DEL MATERIAL</w:t>
            </w:r>
          </w:p>
          <w:p w14:paraId="46882397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Para rueda elástica BOCHUM-54</w:t>
            </w:r>
          </w:p>
          <w:p w14:paraId="6FCA2601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Plano BOCHUMER VEREIN: P.105.00.01.54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A</w:t>
            </w:r>
          </w:p>
          <w:p w14:paraId="3920DF83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Calidad: FHFN80</w:t>
            </w:r>
          </w:p>
          <w:p w14:paraId="3D2B74D7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Forma: R-2</w:t>
            </w:r>
          </w:p>
          <w:p w14:paraId="472E2430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Referencia: 54 249 FHFN8090</w:t>
            </w:r>
          </w:p>
          <w:p w14:paraId="502F153C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Especificación: SP12013</w:t>
            </w:r>
          </w:p>
          <w:p w14:paraId="11C5FFC5" w14:textId="394E89CC" w:rsidR="00337C73" w:rsidRPr="000509EC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Plano Metro: 17402 Ed. 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1E46E" w14:textId="26D65A79" w:rsidR="00337C73" w:rsidRPr="009A65B0" w:rsidRDefault="00337C73" w:rsidP="00337C73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5530" w14:textId="77777777" w:rsidR="00337C73" w:rsidRPr="009A65B0" w:rsidRDefault="00337C73" w:rsidP="00337C73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A65B0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337C73" w:rsidRPr="009A65B0" w14:paraId="7741F396" w14:textId="77777777" w:rsidTr="005E5D24">
        <w:trPr>
          <w:trHeight w:val="13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6048F644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6A1C6DC9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73431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14:paraId="5FACA51D" w14:textId="77777777" w:rsidR="00337C73" w:rsidRPr="009A65B0" w:rsidRDefault="00337C73" w:rsidP="00337C7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26AE7">
              <w:rPr>
                <w:rFonts w:eastAsia="Times New Roman"/>
                <w:color w:val="000000"/>
                <w:sz w:val="18"/>
                <w:szCs w:val="18"/>
              </w:rPr>
              <w:t>TACO GOMA CON PUESTA TIERRA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99C05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DATOS ADICIONALES DEL MATERIAL</w:t>
            </w:r>
          </w:p>
          <w:p w14:paraId="2A7339E5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Para rueda elástica BOCHUM-54</w:t>
            </w:r>
          </w:p>
          <w:p w14:paraId="2180C402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Plano BOCHUMER VEREIN: P.105</w:t>
            </w:r>
            <w:r w:rsidRPr="00FA6F91">
              <w:rPr>
                <w:rFonts w:eastAsia="Times New Roman"/>
                <w:color w:val="000000"/>
                <w:sz w:val="18"/>
                <w:szCs w:val="18"/>
              </w:rPr>
              <w:t>.12.01.54 A</w:t>
            </w:r>
          </w:p>
          <w:p w14:paraId="63EC54F2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Calidad: FHFN80</w:t>
            </w:r>
          </w:p>
          <w:p w14:paraId="7C83A80B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Forma: R-2A</w:t>
            </w:r>
          </w:p>
          <w:p w14:paraId="61D2AFEC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Referencia: 54 249 A FHFN8090</w:t>
            </w:r>
          </w:p>
          <w:p w14:paraId="6AB3C95F" w14:textId="77777777" w:rsidR="00995E25" w:rsidRPr="00C22B98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2B98">
              <w:rPr>
                <w:rFonts w:eastAsia="Times New Roman"/>
                <w:color w:val="000000"/>
                <w:sz w:val="18"/>
                <w:szCs w:val="18"/>
              </w:rPr>
              <w:t>Especificación: SP12013</w:t>
            </w:r>
          </w:p>
          <w:p w14:paraId="67E98ED4" w14:textId="0E413D26" w:rsidR="00337C73" w:rsidRPr="000509EC" w:rsidRDefault="00995E25" w:rsidP="00995E25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Plano Metro: 17403 Ed. 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9506F" w14:textId="732B1FC1" w:rsidR="00337C73" w:rsidRPr="009A65B0" w:rsidRDefault="00337C73" w:rsidP="00337C73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57A4" w14:textId="77777777" w:rsidR="00337C73" w:rsidRPr="009A65B0" w:rsidRDefault="00337C73" w:rsidP="00337C73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5B9A3CA8" w14:textId="77777777" w:rsidR="000B70A6" w:rsidRDefault="000B70A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2701F42B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</w:t>
      </w:r>
      <w:r w:rsidR="000B70A6">
        <w:rPr>
          <w:rFonts w:asciiTheme="minorHAnsi" w:hAnsiTheme="minorHAnsi" w:cstheme="minorHAnsi"/>
          <w:i/>
          <w:sz w:val="18"/>
          <w:szCs w:val="18"/>
        </w:rPr>
        <w:t xml:space="preserve">. </w:t>
      </w:r>
    </w:p>
    <w:p w14:paraId="352B3C4E" w14:textId="03EADC95" w:rsidR="008328A3" w:rsidRDefault="008328A3" w:rsidP="0051266C">
      <w:pPr>
        <w:pStyle w:val="Textosinformato"/>
        <w:spacing w:after="120" w:line="312" w:lineRule="auto"/>
        <w:ind w:left="85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</w:t>
      </w:r>
      <w:r w:rsidR="005252C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A67AEA">
        <w:rPr>
          <w:rFonts w:asciiTheme="minorHAnsi" w:hAnsiTheme="minorHAnsi" w:cstheme="minorHAnsi"/>
          <w:i/>
          <w:sz w:val="18"/>
          <w:szCs w:val="18"/>
        </w:rPr>
        <w:t xml:space="preserve"> En este plazo de entrega no se tendrá en cuenta la primera semana del año, cuatro semanas del mes de agosto y la última semana del año.</w:t>
      </w:r>
    </w:p>
    <w:p w14:paraId="26B0455C" w14:textId="6A5A05C6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2A8DAD7E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RPr="00007C77" w:rsidSect="009526C0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FF022" w14:textId="77777777" w:rsidR="00613AEF" w:rsidRDefault="00613AEF" w:rsidP="006026D8">
      <w:pPr>
        <w:spacing w:line="240" w:lineRule="auto"/>
      </w:pPr>
      <w:r>
        <w:separator/>
      </w:r>
    </w:p>
  </w:endnote>
  <w:endnote w:type="continuationSeparator" w:id="0">
    <w:p w14:paraId="7A254C94" w14:textId="77777777" w:rsidR="00613AEF" w:rsidRDefault="00613AEF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5DA7" w14:textId="77777777" w:rsidR="00613AEF" w:rsidRDefault="00613AEF" w:rsidP="006026D8">
      <w:pPr>
        <w:spacing w:line="240" w:lineRule="auto"/>
      </w:pPr>
      <w:r>
        <w:separator/>
      </w:r>
    </w:p>
  </w:footnote>
  <w:footnote w:type="continuationSeparator" w:id="0">
    <w:p w14:paraId="13523789" w14:textId="77777777" w:rsidR="00613AEF" w:rsidRDefault="00613AEF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4025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09EC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B70A6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66D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3E5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C73"/>
    <w:rsid w:val="00342CF5"/>
    <w:rsid w:val="00344ECD"/>
    <w:rsid w:val="00346FA2"/>
    <w:rsid w:val="003500EE"/>
    <w:rsid w:val="00350D5D"/>
    <w:rsid w:val="0035379F"/>
    <w:rsid w:val="00353B88"/>
    <w:rsid w:val="00361D60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20C4"/>
    <w:rsid w:val="0051266C"/>
    <w:rsid w:val="005252C1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AEF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0441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0CF0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801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1F4B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5E25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7AEA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C64F9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222D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6C80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3279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2023-10-10T09:18:00Z</dcterms:created>
  <dcterms:modified xsi:type="dcterms:W3CDTF">2023-10-10T09:18:00Z</dcterms:modified>
</cp:coreProperties>
</file>