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008" w:rsidRDefault="00587008" w:rsidP="00587008">
      <w:pPr>
        <w:widowControl w:val="0"/>
        <w:suppressAutoHyphens/>
        <w:autoSpaceDE w:val="0"/>
        <w:autoSpaceDN w:val="0"/>
        <w:adjustRightInd w:val="0"/>
        <w:spacing w:after="0"/>
        <w:jc w:val="both"/>
        <w:rPr>
          <w:rFonts w:ascii="Century Gothic" w:eastAsia="Calibri" w:hAnsi="Century Gothic" w:cs="Arial"/>
          <w:b/>
          <w:bCs/>
        </w:rPr>
      </w:pPr>
    </w:p>
    <w:p w:rsidR="00587008" w:rsidRDefault="00587008" w:rsidP="00587008">
      <w:pPr>
        <w:widowControl w:val="0"/>
        <w:suppressAutoHyphens/>
        <w:autoSpaceDE w:val="0"/>
        <w:autoSpaceDN w:val="0"/>
        <w:adjustRightInd w:val="0"/>
        <w:spacing w:after="0"/>
        <w:jc w:val="both"/>
        <w:rPr>
          <w:rFonts w:ascii="Century Gothic" w:eastAsia="Calibri" w:hAnsi="Century Gothic" w:cs="Arial"/>
          <w:b/>
          <w:bCs/>
        </w:rPr>
      </w:pPr>
    </w:p>
    <w:p w:rsidR="00587008" w:rsidRPr="00587008" w:rsidRDefault="00587008" w:rsidP="00587008">
      <w:pPr>
        <w:widowControl w:val="0"/>
        <w:suppressAutoHyphens/>
        <w:autoSpaceDE w:val="0"/>
        <w:autoSpaceDN w:val="0"/>
        <w:adjustRightInd w:val="0"/>
        <w:spacing w:after="0"/>
        <w:jc w:val="center"/>
        <w:rPr>
          <w:rFonts w:ascii="Century Gothic" w:eastAsia="Calibri" w:hAnsi="Century Gothic" w:cs="Arial"/>
          <w:b/>
          <w:bCs/>
        </w:rPr>
      </w:pPr>
      <w:r w:rsidRPr="00587008">
        <w:rPr>
          <w:rFonts w:ascii="Century Gothic" w:eastAsia="Calibri" w:hAnsi="Century Gothic" w:cs="Arial"/>
          <w:b/>
          <w:bCs/>
        </w:rPr>
        <w:t>VISITA OBLIGATORIA AL EDIFICIO:</w:t>
      </w:r>
      <w:bookmarkStart w:id="0" w:name="Ap8_3Clausula_1"/>
      <w:bookmarkEnd w:id="0"/>
    </w:p>
    <w:p w:rsidR="00587008" w:rsidRDefault="00587008" w:rsidP="00587008">
      <w:pPr>
        <w:widowControl w:val="0"/>
        <w:suppressAutoHyphens/>
        <w:autoSpaceDE w:val="0"/>
        <w:autoSpaceDN w:val="0"/>
        <w:adjustRightInd w:val="0"/>
        <w:spacing w:after="0"/>
        <w:jc w:val="both"/>
        <w:rPr>
          <w:rFonts w:ascii="Century Gothic" w:eastAsia="Calibri" w:hAnsi="Century Gothic" w:cs="Arial"/>
          <w:b/>
          <w:bCs/>
        </w:rPr>
      </w:pPr>
    </w:p>
    <w:p w:rsidR="00587008" w:rsidRPr="00587008" w:rsidRDefault="00587008" w:rsidP="00587008">
      <w:pPr>
        <w:widowControl w:val="0"/>
        <w:suppressAutoHyphens/>
        <w:autoSpaceDE w:val="0"/>
        <w:autoSpaceDN w:val="0"/>
        <w:adjustRightInd w:val="0"/>
        <w:spacing w:after="0"/>
        <w:jc w:val="both"/>
        <w:rPr>
          <w:rFonts w:ascii="Century Gothic" w:eastAsia="Calibri" w:hAnsi="Century Gothic" w:cs="Arial"/>
          <w:b/>
          <w:bCs/>
        </w:rPr>
      </w:pPr>
    </w:p>
    <w:p w:rsidR="00587008" w:rsidRP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r w:rsidRPr="00587008">
        <w:rPr>
          <w:rFonts w:ascii="Century Gothic" w:eastAsia="Calibri" w:hAnsi="Century Gothic" w:cs="Times New Roman"/>
        </w:rPr>
        <w:t>Los licitadores deberán efectuar una visita al inmueble de cada lote objeto del contrato, con el fin de conocer las características de los mismos antes de presentar su oferta. La realización de dicha visita supondrá la aceptación por parte de las empresas licitadoras de las condiciones de ejecución de la obra en caso de resultar adjudicatario.</w:t>
      </w:r>
    </w:p>
    <w:p w:rsid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p>
    <w:p w:rsidR="00587008" w:rsidRP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p>
    <w:p w:rsidR="00587008" w:rsidRP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r w:rsidRPr="00587008">
        <w:rPr>
          <w:rFonts w:ascii="Century Gothic" w:eastAsia="Calibri" w:hAnsi="Century Gothic" w:cs="Times New Roman"/>
        </w:rPr>
        <w:t>Dicha visita deberá realizarse por un representante o apoderado del licitador, o un trabajador cualificado incluido en el personal del licitador y previamente autorizado por este, en presencia de un responsable de PLANIFICA MADRID.</w:t>
      </w:r>
    </w:p>
    <w:p w:rsidR="00587008" w:rsidRP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r w:rsidRPr="00587008">
        <w:rPr>
          <w:rFonts w:ascii="Century Gothic" w:eastAsia="Calibri" w:hAnsi="Century Gothic" w:cs="Times New Roman"/>
        </w:rPr>
        <w:t>Se fijará un día para visitar cada uno de los inmuebles.</w:t>
      </w:r>
    </w:p>
    <w:p w:rsid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p>
    <w:p w:rsidR="00587008" w:rsidRP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p>
    <w:p w:rsidR="00587008" w:rsidRP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r w:rsidRPr="00587008">
        <w:rPr>
          <w:rFonts w:ascii="Century Gothic" w:eastAsia="Calibri" w:hAnsi="Century Gothic" w:cs="Times New Roman"/>
        </w:rPr>
        <w:t xml:space="preserve">Con una antelación de 72 horas a la fecha fijada para la visita, el licitador deberá enviar a la dirección de correo </w:t>
      </w:r>
      <w:r w:rsidRPr="00587008">
        <w:rPr>
          <w:rFonts w:ascii="Century Gothic" w:eastAsia="Calibri" w:hAnsi="Century Gothic" w:cs="Times New Roman"/>
          <w:color w:val="1F497D"/>
        </w:rPr>
        <w:t xml:space="preserve">estefania.garcia@madrid.org </w:t>
      </w:r>
      <w:r w:rsidRPr="00587008">
        <w:rPr>
          <w:rFonts w:ascii="Century Gothic" w:eastAsia="Calibri" w:hAnsi="Century Gothic" w:cs="Times New Roman"/>
        </w:rPr>
        <w:t>los datos del representante o apoderamiento y, en su caso, de realizarse por un trabador, la autorización al mismo por parte del licitador.</w:t>
      </w:r>
    </w:p>
    <w:p w:rsid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p>
    <w:p w:rsidR="00587008" w:rsidRP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p>
    <w:p w:rsidR="00587008" w:rsidRP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r w:rsidRPr="00587008">
        <w:rPr>
          <w:rFonts w:ascii="Century Gothic" w:eastAsia="Calibri" w:hAnsi="Century Gothic" w:cs="Times New Roman"/>
        </w:rPr>
        <w:t>Se entregará un certificado por cada lote, tras la visita. Deberá aportarse junto al resto de documentación a presentar.</w:t>
      </w:r>
    </w:p>
    <w:p w:rsid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p>
    <w:p w:rsidR="00587008" w:rsidRPr="00587008" w:rsidRDefault="00587008" w:rsidP="00587008">
      <w:pPr>
        <w:widowControl w:val="0"/>
        <w:suppressAutoHyphens/>
        <w:autoSpaceDE w:val="0"/>
        <w:autoSpaceDN w:val="0"/>
        <w:adjustRightInd w:val="0"/>
        <w:spacing w:after="0"/>
        <w:jc w:val="both"/>
        <w:rPr>
          <w:rFonts w:ascii="Century Gothic" w:eastAsia="Calibri" w:hAnsi="Century Gothic" w:cs="Times New Roman"/>
        </w:rPr>
      </w:pPr>
    </w:p>
    <w:p w:rsidR="00587008" w:rsidRPr="00587008" w:rsidRDefault="00587008" w:rsidP="00587008">
      <w:pPr>
        <w:widowControl w:val="0"/>
        <w:suppressAutoHyphens/>
        <w:autoSpaceDE w:val="0"/>
        <w:autoSpaceDN w:val="0"/>
        <w:adjustRightInd w:val="0"/>
        <w:spacing w:after="0"/>
        <w:jc w:val="both"/>
        <w:rPr>
          <w:rFonts w:ascii="Cambria" w:eastAsia="Calibri" w:hAnsi="Cambria" w:cs="Cambria"/>
          <w:spacing w:val="-3"/>
          <w:lang w:val="en-US"/>
        </w:rPr>
      </w:pPr>
      <w:r w:rsidRPr="00587008">
        <w:rPr>
          <w:rFonts w:ascii="Century Gothic" w:eastAsia="Calibri" w:hAnsi="Century Gothic" w:cs="Times New Roman"/>
        </w:rPr>
        <w:t xml:space="preserve">Esta visita técnica al inmueble del contrato para cuya licitación se presente, será causa específica de exclusión: considerando un requisito imprescindible y obligatorio el visitar previamente las instalaciones para poder </w:t>
      </w:r>
      <w:proofErr w:type="spellStart"/>
      <w:r w:rsidRPr="00587008">
        <w:rPr>
          <w:rFonts w:ascii="Century Gothic" w:eastAsia="Calibri" w:hAnsi="Century Gothic" w:cs="Cambria"/>
          <w:spacing w:val="-3"/>
          <w:lang w:val="en-US"/>
        </w:rPr>
        <w:t>presen</w:t>
      </w:r>
      <w:bookmarkStart w:id="1" w:name="_GoBack"/>
      <w:bookmarkEnd w:id="1"/>
      <w:r w:rsidRPr="00587008">
        <w:rPr>
          <w:rFonts w:ascii="Century Gothic" w:eastAsia="Calibri" w:hAnsi="Century Gothic" w:cs="Cambria"/>
          <w:spacing w:val="-3"/>
          <w:lang w:val="en-US"/>
        </w:rPr>
        <w:t>tar</w:t>
      </w:r>
      <w:proofErr w:type="spellEnd"/>
      <w:r w:rsidRPr="00587008">
        <w:rPr>
          <w:rFonts w:ascii="Century Gothic" w:eastAsia="Calibri" w:hAnsi="Century Gothic" w:cs="Cambria"/>
          <w:spacing w:val="-3"/>
          <w:lang w:val="en-US"/>
        </w:rPr>
        <w:t xml:space="preserve"> </w:t>
      </w:r>
      <w:proofErr w:type="spellStart"/>
      <w:r w:rsidRPr="00587008">
        <w:rPr>
          <w:rFonts w:ascii="Century Gothic" w:eastAsia="Calibri" w:hAnsi="Century Gothic" w:cs="Cambria"/>
          <w:spacing w:val="-3"/>
          <w:lang w:val="en-US"/>
        </w:rPr>
        <w:t>oferta</w:t>
      </w:r>
      <w:proofErr w:type="spellEnd"/>
      <w:r w:rsidRPr="00587008">
        <w:rPr>
          <w:rFonts w:ascii="Century Gothic" w:eastAsia="Calibri" w:hAnsi="Century Gothic" w:cs="Cambria"/>
          <w:spacing w:val="-3"/>
          <w:lang w:val="en-US"/>
        </w:rPr>
        <w:t>.</w:t>
      </w:r>
    </w:p>
    <w:p w:rsidR="00401C5F" w:rsidRDefault="00401C5F"/>
    <w:sectPr w:rsidR="00401C5F">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008" w:rsidRDefault="00587008" w:rsidP="00587008">
      <w:pPr>
        <w:spacing w:after="0" w:line="240" w:lineRule="auto"/>
      </w:pPr>
      <w:r>
        <w:separator/>
      </w:r>
    </w:p>
  </w:endnote>
  <w:endnote w:type="continuationSeparator" w:id="0">
    <w:p w:rsidR="00587008" w:rsidRDefault="00587008" w:rsidP="00587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08" w:rsidRDefault="00587008">
    <w:pPr>
      <w:pStyle w:val="Piedepgina"/>
    </w:pPr>
  </w:p>
  <w:p w:rsidR="00587008" w:rsidRPr="00605144" w:rsidRDefault="00587008" w:rsidP="00587008">
    <w:pPr>
      <w:pStyle w:val="Ttulo1"/>
      <w:spacing w:before="60" w:line="276" w:lineRule="auto"/>
      <w:ind w:left="0" w:right="300"/>
      <w:jc w:val="both"/>
      <w:rPr>
        <w:b w:val="0"/>
        <w:bCs w:val="0"/>
        <w:sz w:val="12"/>
        <w:szCs w:val="12"/>
      </w:rPr>
    </w:pPr>
    <w:r>
      <w:rPr>
        <w:b w:val="0"/>
        <w:spacing w:val="-1"/>
        <w:sz w:val="12"/>
        <w:szCs w:val="12"/>
      </w:rPr>
      <w:t>VISITA OBLIGATORIA A LOS EDICIFICIOS</w:t>
    </w:r>
    <w:r>
      <w:rPr>
        <w:b w:val="0"/>
        <w:spacing w:val="-1"/>
        <w:sz w:val="12"/>
        <w:szCs w:val="12"/>
      </w:rPr>
      <w:tab/>
    </w:r>
    <w:r>
      <w:rPr>
        <w:b w:val="0"/>
        <w:spacing w:val="-1"/>
        <w:sz w:val="12"/>
        <w:szCs w:val="12"/>
      </w:rPr>
      <w:tab/>
    </w:r>
    <w:r>
      <w:rPr>
        <w:b w:val="0"/>
        <w:spacing w:val="-1"/>
        <w:sz w:val="12"/>
        <w:szCs w:val="12"/>
      </w:rPr>
      <w:tab/>
    </w:r>
    <w:r>
      <w:rPr>
        <w:b w:val="0"/>
        <w:spacing w:val="-1"/>
        <w:sz w:val="12"/>
        <w:szCs w:val="12"/>
      </w:rPr>
      <w:tab/>
    </w:r>
    <w:r>
      <w:rPr>
        <w:b w:val="0"/>
        <w:spacing w:val="-1"/>
        <w:sz w:val="12"/>
        <w:szCs w:val="12"/>
      </w:rPr>
      <w:tab/>
    </w:r>
    <w:r>
      <w:rPr>
        <w:b w:val="0"/>
        <w:spacing w:val="-1"/>
        <w:sz w:val="12"/>
        <w:szCs w:val="12"/>
      </w:rPr>
      <w:tab/>
    </w:r>
    <w:r w:rsidRPr="00D307DF">
      <w:rPr>
        <w:b w:val="0"/>
        <w:spacing w:val="-1"/>
        <w:sz w:val="12"/>
        <w:szCs w:val="12"/>
      </w:rPr>
      <w:t xml:space="preserve"> </w:t>
    </w:r>
    <w:r w:rsidRPr="00A37A5C">
      <w:rPr>
        <w:b w:val="0"/>
        <w:spacing w:val="-1"/>
        <w:sz w:val="12"/>
        <w:szCs w:val="12"/>
      </w:rPr>
      <w:t xml:space="preserve">EXPEDIENTE </w:t>
    </w:r>
    <w:r>
      <w:rPr>
        <w:b w:val="0"/>
        <w:spacing w:val="-1"/>
        <w:sz w:val="12"/>
        <w:szCs w:val="12"/>
      </w:rPr>
      <w:t>GP-AS-0004-2024-O</w:t>
    </w:r>
  </w:p>
  <w:p w:rsidR="00587008" w:rsidRDefault="0058700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008" w:rsidRDefault="00587008" w:rsidP="00587008">
      <w:pPr>
        <w:spacing w:after="0" w:line="240" w:lineRule="auto"/>
      </w:pPr>
      <w:r>
        <w:separator/>
      </w:r>
    </w:p>
  </w:footnote>
  <w:footnote w:type="continuationSeparator" w:id="0">
    <w:p w:rsidR="00587008" w:rsidRDefault="00587008" w:rsidP="00587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08" w:rsidRDefault="00587008" w:rsidP="00587008">
    <w:pPr>
      <w:pStyle w:val="Encabezado"/>
      <w:tabs>
        <w:tab w:val="clear" w:pos="4252"/>
        <w:tab w:val="clear" w:pos="8504"/>
        <w:tab w:val="left" w:pos="3552"/>
      </w:tabs>
    </w:pPr>
    <w:r>
      <w:tab/>
    </w:r>
  </w:p>
  <w:tbl>
    <w:tblPr>
      <w:tblStyle w:val="Tablaconcuadrcula"/>
      <w:tblW w:w="1077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587008" w:rsidTr="00E622B1">
      <w:tc>
        <w:tcPr>
          <w:tcW w:w="4322" w:type="dxa"/>
        </w:tcPr>
        <w:p w:rsidR="00587008" w:rsidRPr="00892C58" w:rsidRDefault="00587008" w:rsidP="00587008">
          <w:pPr>
            <w:pStyle w:val="Encabezado"/>
            <w:tabs>
              <w:tab w:val="clear" w:pos="4252"/>
            </w:tabs>
            <w:ind w:left="556"/>
            <w:rPr>
              <w:rFonts w:ascii="Century Gothic" w:hAnsi="Century Gothic"/>
              <w:sz w:val="16"/>
              <w:szCs w:val="16"/>
            </w:rPr>
          </w:pPr>
          <w:r w:rsidRPr="00892C58">
            <w:rPr>
              <w:rFonts w:ascii="Century Gothic" w:hAnsi="Century Gothic"/>
              <w:sz w:val="16"/>
              <w:szCs w:val="16"/>
            </w:rPr>
            <w:t>Calle Edgar Neville 3, Planta Baja</w:t>
          </w:r>
        </w:p>
        <w:p w:rsidR="00587008" w:rsidRPr="00892C58" w:rsidRDefault="00587008" w:rsidP="00587008">
          <w:pPr>
            <w:pStyle w:val="Encabezado"/>
            <w:tabs>
              <w:tab w:val="clear" w:pos="4252"/>
            </w:tabs>
            <w:ind w:left="556"/>
            <w:rPr>
              <w:rFonts w:ascii="Century Gothic" w:hAnsi="Century Gothic"/>
              <w:sz w:val="16"/>
              <w:szCs w:val="16"/>
            </w:rPr>
          </w:pPr>
          <w:r w:rsidRPr="00892C58">
            <w:rPr>
              <w:rFonts w:ascii="Century Gothic" w:hAnsi="Century Gothic"/>
              <w:sz w:val="16"/>
              <w:szCs w:val="16"/>
            </w:rPr>
            <w:t>28020 Madrid</w:t>
          </w:r>
        </w:p>
        <w:p w:rsidR="00587008" w:rsidRPr="00892C58" w:rsidRDefault="00587008" w:rsidP="00587008">
          <w:pPr>
            <w:pStyle w:val="Encabezado"/>
            <w:tabs>
              <w:tab w:val="clear" w:pos="4252"/>
            </w:tabs>
            <w:ind w:left="556"/>
            <w:rPr>
              <w:rFonts w:ascii="Century Gothic" w:hAnsi="Century Gothic"/>
              <w:sz w:val="16"/>
              <w:szCs w:val="16"/>
            </w:rPr>
          </w:pPr>
          <w:r w:rsidRPr="00892C58">
            <w:rPr>
              <w:rFonts w:ascii="Century Gothic" w:hAnsi="Century Gothic"/>
              <w:sz w:val="16"/>
              <w:szCs w:val="16"/>
            </w:rPr>
            <w:t xml:space="preserve">Teléfono: 914 361 590 </w:t>
          </w:r>
        </w:p>
        <w:p w:rsidR="00587008" w:rsidRDefault="00587008" w:rsidP="00587008">
          <w:pPr>
            <w:pStyle w:val="Encabezado"/>
          </w:pPr>
        </w:p>
      </w:tc>
      <w:tc>
        <w:tcPr>
          <w:tcW w:w="6452" w:type="dxa"/>
        </w:tcPr>
        <w:p w:rsidR="00587008" w:rsidRDefault="00587008" w:rsidP="00587008">
          <w:pPr>
            <w:pStyle w:val="Encabezado"/>
            <w:jc w:val="right"/>
          </w:pPr>
          <w:r>
            <w:rPr>
              <w:noProof/>
            </w:rPr>
            <w:drawing>
              <wp:inline distT="0" distB="0" distL="0" distR="0" wp14:anchorId="5B196F32" wp14:editId="79CBCA2C">
                <wp:extent cx="1903602" cy="571500"/>
                <wp:effectExtent l="0" t="0" r="0" b="0"/>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587008" w:rsidRDefault="0058700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008"/>
    <w:rsid w:val="00401C5F"/>
    <w:rsid w:val="005870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7E13D"/>
  <w15:chartTrackingRefBased/>
  <w15:docId w15:val="{0E3CE4DF-4D50-4527-908B-5268DBBF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1"/>
    <w:qFormat/>
    <w:rsid w:val="00587008"/>
    <w:pPr>
      <w:widowControl w:val="0"/>
      <w:spacing w:after="0" w:line="240" w:lineRule="auto"/>
      <w:ind w:left="1027"/>
      <w:outlineLvl w:val="0"/>
    </w:pPr>
    <w:rPr>
      <w:rFonts w:ascii="Century Gothic" w:eastAsia="Century Gothic" w:hAnsi="Century Gothic"/>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8700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87008"/>
  </w:style>
  <w:style w:type="paragraph" w:styleId="Piedepgina">
    <w:name w:val="footer"/>
    <w:basedOn w:val="Normal"/>
    <w:link w:val="PiedepginaCar"/>
    <w:uiPriority w:val="99"/>
    <w:unhideWhenUsed/>
    <w:rsid w:val="005870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87008"/>
  </w:style>
  <w:style w:type="table" w:styleId="Tablaconcuadrcula">
    <w:name w:val="Table Grid"/>
    <w:basedOn w:val="Tablanormal"/>
    <w:uiPriority w:val="39"/>
    <w:rsid w:val="0058700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587008"/>
    <w:rPr>
      <w:rFonts w:ascii="Century Gothic" w:eastAsia="Century Gothic" w:hAnsi="Century Gothic"/>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1122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Perez Sanchez</dc:creator>
  <cp:keywords/>
  <dc:description/>
  <cp:lastModifiedBy>Beatriz Perez Sanchez</cp:lastModifiedBy>
  <cp:revision>1</cp:revision>
  <dcterms:created xsi:type="dcterms:W3CDTF">2024-02-21T06:36:00Z</dcterms:created>
  <dcterms:modified xsi:type="dcterms:W3CDTF">2024-02-21T06:39:00Z</dcterms:modified>
</cp:coreProperties>
</file>