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4A1399EC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9A76D1">
        <w:rPr>
          <w:rFonts w:asciiTheme="minorHAnsi" w:hAnsiTheme="minorHAnsi" w:cstheme="minorHAnsi"/>
          <w:sz w:val="22"/>
          <w:szCs w:val="22"/>
        </w:rPr>
        <w:t>PLAZO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0DBCAE8E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7397C">
        <w:rPr>
          <w:rFonts w:asciiTheme="minorHAnsi" w:hAnsiTheme="minorHAnsi" w:cstheme="minorHAnsi"/>
        </w:rPr>
        <w:t xml:space="preserve"> del fabricante Cisco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04E34915" w:rsidR="00982604" w:rsidRPr="00982604" w:rsidRDefault="00982604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no superará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9A76D1" w:rsidRPr="009A76D1">
        <w:rPr>
          <w:rFonts w:asciiTheme="minorHAnsi" w:hAnsiTheme="minorHAnsi" w:cstheme="minorHAnsi"/>
          <w:u w:val="single"/>
        </w:rPr>
        <w:t>veintiséis (26)</w:t>
      </w:r>
      <w:r w:rsidR="00DB11E1" w:rsidRPr="009A76D1">
        <w:rPr>
          <w:rFonts w:asciiTheme="minorHAnsi" w:hAnsiTheme="minorHAnsi" w:cstheme="minorHAnsi"/>
          <w:u w:val="single"/>
        </w:rPr>
        <w:t xml:space="preserve"> </w:t>
      </w:r>
      <w:r w:rsidRPr="009A76D1">
        <w:rPr>
          <w:rFonts w:asciiTheme="minorHAnsi" w:hAnsiTheme="minorHAnsi" w:cstheme="minorHAnsi"/>
          <w:u w:val="single"/>
        </w:rPr>
        <w:t>semanas</w:t>
      </w:r>
      <w:r w:rsidRPr="00982604">
        <w:rPr>
          <w:rFonts w:asciiTheme="minorHAnsi" w:hAnsiTheme="minorHAnsi" w:cstheme="minorHAnsi"/>
        </w:rPr>
        <w:t xml:space="preserve">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6DE81F08" w14:textId="77777777" w:rsidR="00C51594" w:rsidRPr="001C294A" w:rsidRDefault="00C51594" w:rsidP="00C5159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10490" w:type="dxa"/>
        <w:jc w:val="center"/>
        <w:tblLook w:val="00A0" w:firstRow="1" w:lastRow="0" w:firstColumn="1" w:lastColumn="0" w:noHBand="0" w:noVBand="0"/>
      </w:tblPr>
      <w:tblGrid>
        <w:gridCol w:w="567"/>
        <w:gridCol w:w="1276"/>
        <w:gridCol w:w="3969"/>
        <w:gridCol w:w="3182"/>
        <w:gridCol w:w="1496"/>
      </w:tblGrid>
      <w:tr w:rsidR="00D236FD" w:rsidRPr="002B41D8" w14:paraId="0C687397" w14:textId="77777777" w:rsidTr="00935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323E4F" w:themeFill="text2" w:themeFillShade="BF"/>
            <w:vAlign w:val="center"/>
          </w:tcPr>
          <w:p w14:paraId="7F40F613" w14:textId="7777777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bookmarkStart w:id="2" w:name="_Hlk93427149"/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323E4F" w:themeFill="text2" w:themeFillShade="BF"/>
            <w:vAlign w:val="center"/>
          </w:tcPr>
          <w:p w14:paraId="7A2D41AB" w14:textId="7777777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REF.INTERNA DE METRO</w:t>
            </w:r>
          </w:p>
        </w:tc>
        <w:tc>
          <w:tcPr>
            <w:tcW w:w="3969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323E4F" w:themeFill="text2" w:themeFillShade="BF"/>
            <w:vAlign w:val="center"/>
          </w:tcPr>
          <w:p w14:paraId="0C7F5029" w14:textId="1232AEF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PRODUCTO HOMOLOGADO</w:t>
            </w:r>
          </w:p>
        </w:tc>
        <w:tc>
          <w:tcPr>
            <w:tcW w:w="1496" w:type="dxa"/>
            <w:shd w:val="clear" w:color="auto" w:fill="323E4F" w:themeFill="text2" w:themeFillShade="BF"/>
            <w:vAlign w:val="center"/>
          </w:tcPr>
          <w:p w14:paraId="4C18198C" w14:textId="6ECEBEEC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PLAZO DE SUMINISTRO </w:t>
            </w:r>
          </w:p>
          <w:p w14:paraId="05F112BC" w14:textId="7EC10895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 (SEMANAS)</w:t>
            </w:r>
          </w:p>
        </w:tc>
      </w:tr>
      <w:tr w:rsidR="00091ABE" w:rsidRPr="002B41D8" w14:paraId="2C8A99F1" w14:textId="77777777" w:rsidTr="009A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2A569C8C" w14:textId="7F3198FD" w:rsidR="00091ABE" w:rsidRPr="00D236FD" w:rsidRDefault="00091ABE" w:rsidP="00091ABE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57C072E9" w14:textId="730C30C6" w:rsidR="00091ABE" w:rsidRPr="00B56136" w:rsidRDefault="00091ABE" w:rsidP="00091ABE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B56136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19476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0D053C80" w14:textId="6C53C412" w:rsidR="00091ABE" w:rsidRPr="0057397C" w:rsidRDefault="00557521" w:rsidP="00091ABE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20"/>
                <w:lang w:val="en-GB"/>
              </w:rPr>
            </w:pPr>
            <w:r w:rsidRPr="0055752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SWITCH CISCO </w:t>
            </w:r>
            <w:r w:rsidR="00091ABE" w:rsidRPr="00764D24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CBS350-24S-4G-EU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vAlign w:val="center"/>
          </w:tcPr>
          <w:p w14:paraId="1CEEA48A" w14:textId="6505FE71" w:rsidR="00091ABE" w:rsidRPr="00B56136" w:rsidRDefault="00091ABE" w:rsidP="00091ABE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764D24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CBS350-24S-4G-EU</w:t>
            </w:r>
          </w:p>
        </w:tc>
        <w:tc>
          <w:tcPr>
            <w:tcW w:w="1496" w:type="dxa"/>
            <w:vAlign w:val="center"/>
          </w:tcPr>
          <w:p w14:paraId="0A2AF1CA" w14:textId="1F5B975E" w:rsidR="00091ABE" w:rsidRPr="00D236FD" w:rsidRDefault="00091ABE" w:rsidP="00091ABE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091ABE" w:rsidRPr="002B41D8" w14:paraId="75F81223" w14:textId="77777777" w:rsidTr="009A76D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47220446" w14:textId="70041261" w:rsidR="00091ABE" w:rsidRPr="00D236FD" w:rsidRDefault="00091ABE" w:rsidP="00091ABE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F0AD3A8" w14:textId="2E08A747" w:rsidR="00091ABE" w:rsidRPr="00B56136" w:rsidRDefault="00091ABE" w:rsidP="00091ABE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B56136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19481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5D66D941" w14:textId="31C412D7" w:rsidR="00091ABE" w:rsidRPr="00B56136" w:rsidRDefault="00557521" w:rsidP="00091ABE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55752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SWITCH CISCO </w:t>
            </w:r>
            <w:r w:rsidR="00091ABE" w:rsidRPr="00764D24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CBS350-8S-E-2G-EU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vAlign w:val="center"/>
          </w:tcPr>
          <w:p w14:paraId="4DA96AF4" w14:textId="2690F173" w:rsidR="00091ABE" w:rsidRPr="00B56136" w:rsidRDefault="00091ABE" w:rsidP="00091ABE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764D24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CBS350-8S-E-2G-EU</w:t>
            </w:r>
          </w:p>
        </w:tc>
        <w:tc>
          <w:tcPr>
            <w:tcW w:w="1496" w:type="dxa"/>
            <w:vAlign w:val="center"/>
          </w:tcPr>
          <w:p w14:paraId="7778F265" w14:textId="17CAA800" w:rsidR="00091ABE" w:rsidRPr="00D236FD" w:rsidRDefault="00091ABE" w:rsidP="00091ABE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bookmarkEnd w:id="2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4559B39E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9A76D1">
        <w:rPr>
          <w:rFonts w:asciiTheme="minorHAnsi" w:hAnsiTheme="minorHAnsi" w:cstheme="minorHAnsi"/>
          <w:i/>
          <w:sz w:val="18"/>
          <w:szCs w:val="18"/>
        </w:rPr>
        <w:t xml:space="preserve">veintiséis </w:t>
      </w:r>
      <w:r w:rsidRPr="00B50200">
        <w:rPr>
          <w:rFonts w:asciiTheme="minorHAnsi" w:hAnsiTheme="minorHAnsi" w:cstheme="minorHAnsi"/>
          <w:i/>
          <w:sz w:val="18"/>
          <w:szCs w:val="18"/>
        </w:rPr>
        <w:t>(</w:t>
      </w:r>
      <w:r w:rsidR="009A76D1">
        <w:rPr>
          <w:rFonts w:asciiTheme="minorHAnsi" w:hAnsiTheme="minorHAnsi" w:cstheme="minorHAnsi"/>
          <w:i/>
          <w:sz w:val="18"/>
          <w:szCs w:val="18"/>
        </w:rPr>
        <w:t>26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1D4C8C71" w14:textId="77777777" w:rsidR="00557521" w:rsidRDefault="0055752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C6C934" w14:textId="446CEB3C" w:rsidR="00DB11E1" w:rsidRPr="00DB11E1" w:rsidRDefault="00DB11E1" w:rsidP="00DB11E1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Se recuerda a los licitadores que adicionalmente al presente documento tal y como se requiere en el apartado </w:t>
      </w:r>
      <w:bookmarkStart w:id="3" w:name="_Toc108775907"/>
      <w:r w:rsidRPr="00DB11E1">
        <w:rPr>
          <w:rFonts w:asciiTheme="minorHAnsi" w:hAnsiTheme="minorHAnsi" w:cstheme="minorHAnsi"/>
          <w:b/>
          <w:i/>
          <w:sz w:val="18"/>
          <w:szCs w:val="18"/>
        </w:rPr>
        <w:t>3</w:t>
      </w:r>
      <w:r w:rsidR="00557521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>DOCUMENTACIÓN A INCORPORAR EN LA OFERTA TÉCNICA</w:t>
      </w:r>
      <w:bookmarkEnd w:id="3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, del pliego de prescripciones técnicas, deben presentar el </w:t>
      </w:r>
      <w:r w:rsidRPr="00557521">
        <w:rPr>
          <w:rFonts w:asciiTheme="minorHAnsi" w:hAnsiTheme="minorHAnsi" w:cstheme="minorHAnsi"/>
          <w:b/>
          <w:i/>
          <w:color w:val="FF0000"/>
          <w:sz w:val="18"/>
          <w:szCs w:val="18"/>
          <w:u w:val="single"/>
        </w:rPr>
        <w:t>DOCUMENTO ACREDITACIÓN DE LA ORIGINALIDAD DE LOS PRODUCTOS</w:t>
      </w:r>
    </w:p>
    <w:p w14:paraId="36089634" w14:textId="77777777" w:rsidR="00DB11E1" w:rsidRDefault="00DB11E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</w:rPr>
      </w:pPr>
    </w:p>
    <w:p w14:paraId="6E9A6086" w14:textId="60882E5E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8F3694">
        <w:rPr>
          <w:rFonts w:asciiTheme="minorHAnsi" w:hAnsiTheme="minorHAnsi" w:cstheme="minorHAnsi"/>
          <w:sz w:val="22"/>
          <w:szCs w:val="22"/>
        </w:rPr>
        <w:t>..</w:t>
      </w:r>
    </w:p>
    <w:p w14:paraId="471F0A59" w14:textId="21893703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28103C3E" w14:textId="11E3DB50" w:rsidR="00557521" w:rsidRDefault="00557521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6D6135CC" w14:textId="77777777" w:rsidR="00557521" w:rsidRDefault="00557521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A956B" w14:textId="77777777" w:rsidR="00D71C70" w:rsidRDefault="00D71C70" w:rsidP="00D71C70">
      <w:pPr>
        <w:spacing w:line="240" w:lineRule="auto"/>
      </w:pPr>
      <w:r>
        <w:separator/>
      </w:r>
    </w:p>
  </w:endnote>
  <w:endnote w:type="continuationSeparator" w:id="0">
    <w:p w14:paraId="45656D5A" w14:textId="77777777" w:rsidR="00D71C70" w:rsidRDefault="00D71C70" w:rsidP="00D71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C23AA" w14:textId="77777777" w:rsidR="00D71C70" w:rsidRDefault="00D71C70" w:rsidP="00D71C70">
      <w:pPr>
        <w:spacing w:line="240" w:lineRule="auto"/>
      </w:pPr>
      <w:r>
        <w:separator/>
      </w:r>
    </w:p>
  </w:footnote>
  <w:footnote w:type="continuationSeparator" w:id="0">
    <w:p w14:paraId="12DBF702" w14:textId="77777777" w:rsidR="00D71C70" w:rsidRDefault="00D71C70" w:rsidP="00D71C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159588">
    <w:abstractNumId w:val="1"/>
  </w:num>
  <w:num w:numId="2" w16cid:durableId="1954093170">
    <w:abstractNumId w:val="0"/>
  </w:num>
  <w:num w:numId="3" w16cid:durableId="1324696978">
    <w:abstractNumId w:val="3"/>
  </w:num>
  <w:num w:numId="4" w16cid:durableId="1594702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91ABE"/>
    <w:rsid w:val="0015252D"/>
    <w:rsid w:val="001835FC"/>
    <w:rsid w:val="001B3DC3"/>
    <w:rsid w:val="001C294A"/>
    <w:rsid w:val="001E121F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04DBA"/>
    <w:rsid w:val="00514FCF"/>
    <w:rsid w:val="00536EF0"/>
    <w:rsid w:val="00550E92"/>
    <w:rsid w:val="00557521"/>
    <w:rsid w:val="0056389D"/>
    <w:rsid w:val="0057397C"/>
    <w:rsid w:val="005C1D93"/>
    <w:rsid w:val="005E3A3D"/>
    <w:rsid w:val="0060168C"/>
    <w:rsid w:val="00674B07"/>
    <w:rsid w:val="006B7CD7"/>
    <w:rsid w:val="006F7E62"/>
    <w:rsid w:val="00726477"/>
    <w:rsid w:val="00764ACD"/>
    <w:rsid w:val="00771A21"/>
    <w:rsid w:val="007B69A8"/>
    <w:rsid w:val="0083014D"/>
    <w:rsid w:val="00864FB1"/>
    <w:rsid w:val="00883017"/>
    <w:rsid w:val="008A0C10"/>
    <w:rsid w:val="008B3692"/>
    <w:rsid w:val="008F3694"/>
    <w:rsid w:val="00926ACB"/>
    <w:rsid w:val="00935CD6"/>
    <w:rsid w:val="00982604"/>
    <w:rsid w:val="009A1110"/>
    <w:rsid w:val="009A76D1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B56136"/>
    <w:rsid w:val="00B86132"/>
    <w:rsid w:val="00B944FC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523EB"/>
    <w:rsid w:val="00D71C70"/>
    <w:rsid w:val="00D83B15"/>
    <w:rsid w:val="00DB11E1"/>
    <w:rsid w:val="00EA7893"/>
    <w:rsid w:val="00EB7305"/>
    <w:rsid w:val="00EC5460"/>
    <w:rsid w:val="00EC5522"/>
    <w:rsid w:val="00F66DC0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71C70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1C70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71C70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C70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2024-04-11T10:30:00Z</dcterms:created>
  <dcterms:modified xsi:type="dcterms:W3CDTF">2024-04-11T10:30:00Z</dcterms:modified>
</cp:coreProperties>
</file>