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B6F7E" w14:textId="043C3C5A" w:rsidR="008118E2" w:rsidRPr="00C62B84" w:rsidRDefault="008118E2" w:rsidP="008118E2">
      <w:pPr>
        <w:spacing w:after="0" w:line="276" w:lineRule="auto"/>
        <w:ind w:right="707"/>
        <w:jc w:val="both"/>
        <w:rPr>
          <w:rFonts w:eastAsia="Calibri" w:cstheme="minorHAnsi"/>
          <w:b/>
          <w:bCs/>
          <w:smallCaps/>
          <w:color w:val="5B9BD5"/>
          <w:spacing w:val="5"/>
        </w:rPr>
      </w:pPr>
      <w:bookmarkStart w:id="0" w:name="_GoBack"/>
      <w:bookmarkEnd w:id="0"/>
      <w:r w:rsidRPr="00C62B84">
        <w:rPr>
          <w:rFonts w:eastAsia="Calibri" w:cstheme="minorHAnsi"/>
          <w:b/>
          <w:bCs/>
          <w:smallCaps/>
          <w:color w:val="5B9BD5"/>
          <w:spacing w:val="5"/>
        </w:rPr>
        <w:t xml:space="preserve">Nº EXPEDIENTE: </w:t>
      </w:r>
      <w:r w:rsidR="00D04F49" w:rsidRPr="00D04F49">
        <w:rPr>
          <w:rFonts w:eastAsia="Calibri" w:cstheme="minorHAnsi"/>
          <w:b/>
          <w:bCs/>
          <w:smallCaps/>
          <w:color w:val="5B9BD5"/>
          <w:spacing w:val="5"/>
        </w:rPr>
        <w:t>PA SUM 2024-3-SIMP</w:t>
      </w:r>
    </w:p>
    <w:p w14:paraId="6FE20058" w14:textId="77777777" w:rsidR="008118E2" w:rsidRPr="00C62B84" w:rsidRDefault="008118E2" w:rsidP="008118E2">
      <w:pPr>
        <w:spacing w:after="0" w:line="276" w:lineRule="auto"/>
        <w:ind w:right="707"/>
        <w:jc w:val="both"/>
        <w:rPr>
          <w:rFonts w:eastAsia="Calibri" w:cstheme="minorHAnsi"/>
          <w:b/>
          <w:bCs/>
          <w:smallCaps/>
          <w:color w:val="5B9BD5"/>
          <w:spacing w:val="5"/>
        </w:rPr>
      </w:pPr>
    </w:p>
    <w:p w14:paraId="12A9C72A" w14:textId="3055449D" w:rsidR="00ED75C7" w:rsidRPr="00C62B84" w:rsidRDefault="00ED75C7" w:rsidP="00F71F17">
      <w:pPr>
        <w:spacing w:after="0"/>
        <w:jc w:val="both"/>
        <w:rPr>
          <w:rFonts w:eastAsia="Calibri" w:cstheme="minorHAnsi"/>
          <w:b/>
          <w:bCs/>
          <w:smallCaps/>
          <w:color w:val="5B9BD5"/>
          <w:spacing w:val="5"/>
        </w:rPr>
      </w:pPr>
      <w:r w:rsidRPr="00C62B84">
        <w:rPr>
          <w:rFonts w:eastAsia="Calibri" w:cstheme="minorHAnsi"/>
          <w:b/>
          <w:bCs/>
          <w:smallCaps/>
          <w:color w:val="5B9BD5"/>
          <w:spacing w:val="5"/>
        </w:rPr>
        <w:t xml:space="preserve">MEMORIA JUSTIFICATIVA DE LA NECESIDAD Y ECONÓMICA PARA LA CONTRATACIÓN DEL </w:t>
      </w:r>
      <w:r w:rsidR="005519CC" w:rsidRPr="005519CC">
        <w:rPr>
          <w:rFonts w:eastAsia="Calibri" w:cstheme="minorHAnsi"/>
          <w:b/>
          <w:bCs/>
          <w:smallCaps/>
          <w:color w:val="5B9BD5"/>
          <w:spacing w:val="5"/>
        </w:rPr>
        <w:t>SUMINISTRO PARA LA ADQUISICIÓN DE MATERIAL PARA SECUENCIACIÓN MASIVA PARA EL DESARROLLO DEL PROYECTO PI22/01223</w:t>
      </w:r>
      <w:r w:rsidRPr="00C62B84">
        <w:rPr>
          <w:rFonts w:eastAsia="Calibri" w:cstheme="minorHAnsi"/>
          <w:b/>
          <w:bCs/>
          <w:smallCaps/>
          <w:color w:val="5B9BD5"/>
          <w:spacing w:val="5"/>
          <w:lang w:val="es-ES_tradnl"/>
        </w:rPr>
        <w:t xml:space="preserve"> DE LA FUNDACIÓN PARA LA INVESTIGACIÓN BIOMÉDICA DEL HOSPITAL UNIVERSITARIO PUERTA DE HIERRO</w:t>
      </w:r>
      <w:r w:rsidRPr="00C62B84">
        <w:rPr>
          <w:rFonts w:eastAsia="Calibri" w:cstheme="minorHAnsi"/>
          <w:b/>
          <w:bCs/>
          <w:smallCaps/>
          <w:color w:val="5B9BD5"/>
          <w:spacing w:val="5"/>
        </w:rPr>
        <w:t>.</w:t>
      </w:r>
    </w:p>
    <w:p w14:paraId="164A5F64" w14:textId="77777777" w:rsidR="00ED75C7" w:rsidRPr="00C62B84" w:rsidRDefault="00ED75C7" w:rsidP="00F71F17">
      <w:pPr>
        <w:autoSpaceDE w:val="0"/>
        <w:autoSpaceDN w:val="0"/>
        <w:adjustRightInd w:val="0"/>
        <w:spacing w:after="0" w:line="240" w:lineRule="auto"/>
        <w:jc w:val="both"/>
        <w:rPr>
          <w:rFonts w:eastAsia="Calibri" w:cstheme="minorHAnsi"/>
          <w:smallCaps/>
          <w:color w:val="5B9BD5"/>
          <w:spacing w:val="5"/>
        </w:rPr>
      </w:pPr>
    </w:p>
    <w:p w14:paraId="3E3A3D98" w14:textId="68EBACA8" w:rsidR="00ED75C7" w:rsidRPr="00C62B84" w:rsidRDefault="00ED75C7"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1.-NECESIDAD Y FINALIDAD INSTITUCIONAL</w:t>
      </w:r>
    </w:p>
    <w:p w14:paraId="5B59C7E2" w14:textId="77777777" w:rsidR="00ED75C7" w:rsidRDefault="00ED75C7" w:rsidP="00765E7A">
      <w:pPr>
        <w:spacing w:after="0"/>
        <w:jc w:val="both"/>
        <w:rPr>
          <w:rFonts w:eastAsia="Calibri" w:cstheme="minorHAnsi"/>
          <w:b/>
          <w:bCs/>
          <w:smallCaps/>
          <w:color w:val="5B9BD5"/>
          <w:spacing w:val="5"/>
          <w:highlight w:val="yellow"/>
        </w:rPr>
      </w:pPr>
    </w:p>
    <w:p w14:paraId="00188CA6" w14:textId="00EB5373" w:rsidR="00765E7A" w:rsidRPr="00765E7A" w:rsidRDefault="00765E7A" w:rsidP="00765E7A">
      <w:pPr>
        <w:spacing w:after="0"/>
        <w:jc w:val="both"/>
        <w:rPr>
          <w:rFonts w:eastAsia="Calibri" w:cstheme="minorHAnsi"/>
        </w:rPr>
      </w:pPr>
      <w:r w:rsidRPr="00765E7A">
        <w:rPr>
          <w:rFonts w:eastAsia="Calibri" w:cstheme="minorHAnsi"/>
        </w:rPr>
        <w:t>De conformidad con las competencias y funciones que los Estatutos de la Fundación atribuyen a la misma, le corresponden a ésta promover la investigación científico – técnica, así como, la formación y docencia en el área de ciencias de la salud, con el objetivo de potenciar la calidad asistencial. En aras de poder dar cumplimiento a tal propósito, la FIBHUPH necesita contratar el suministro de reactivos para el desarrollo de proyectos de investigación, en concreto en este caso del proyecto de investigación en salud (PI22/01223) otorgado por parte del instituto de salud Carlos III al investigador Mariano Provencio del instituto de investigación sanitaria del hospital puerta de hierro.</w:t>
      </w:r>
    </w:p>
    <w:p w14:paraId="4615E83E" w14:textId="77777777" w:rsidR="00ED75C7" w:rsidRPr="00C62B84" w:rsidRDefault="00ED75C7" w:rsidP="00F71F17">
      <w:pPr>
        <w:autoSpaceDE w:val="0"/>
        <w:autoSpaceDN w:val="0"/>
        <w:adjustRightInd w:val="0"/>
        <w:spacing w:after="0" w:line="240" w:lineRule="auto"/>
        <w:jc w:val="both"/>
        <w:rPr>
          <w:rFonts w:eastAsia="Calibri" w:cstheme="minorHAnsi"/>
          <w:highlight w:val="yellow"/>
          <w:lang w:val="es-ES_tradnl"/>
        </w:rPr>
      </w:pPr>
    </w:p>
    <w:p w14:paraId="7B70B983" w14:textId="3D681E24" w:rsidR="00913B9C" w:rsidRPr="00C62B84" w:rsidRDefault="00ED75C7"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2.- OBJETO DEL CONTRATO Y JUSTIFICACIÓN DE LA NECESIDAD </w:t>
      </w:r>
    </w:p>
    <w:p w14:paraId="7B61CADD" w14:textId="2E89C290" w:rsidR="00ED75C7" w:rsidRPr="00C62B84" w:rsidRDefault="00ED75C7" w:rsidP="00F71F17">
      <w:pPr>
        <w:autoSpaceDE w:val="0"/>
        <w:autoSpaceDN w:val="0"/>
        <w:adjustRightInd w:val="0"/>
        <w:spacing w:after="0" w:line="240" w:lineRule="auto"/>
        <w:jc w:val="both"/>
        <w:rPr>
          <w:rFonts w:eastAsia="Calibri" w:cstheme="minorHAnsi"/>
        </w:rPr>
      </w:pPr>
    </w:p>
    <w:p w14:paraId="49776F3F" w14:textId="180E33BF" w:rsidR="00DE14BC" w:rsidRPr="00C62B84" w:rsidRDefault="00206C22" w:rsidP="00206C22">
      <w:pPr>
        <w:spacing w:after="0"/>
        <w:jc w:val="both"/>
        <w:rPr>
          <w:rFonts w:cstheme="minorHAnsi"/>
        </w:rPr>
      </w:pPr>
      <w:r w:rsidRPr="00206C22">
        <w:rPr>
          <w:rFonts w:eastAsia="Calibri" w:cstheme="minorHAnsi"/>
        </w:rPr>
        <w:t>El objeto del presente contrato es establecer las condiciones técnicas y económicas que han de regir el suministro de reactivos y fungible, para el Laboratorio del Servicio de Oncología Médica del Hospital Universitario Puerta de Hierro para realizar por una parte librerías genómicas, en concreto del repertorio de células T (24 muestras sanguíneas y 72 muestras de tejido), del repertorio de células B (96 muestras de tejido), así como de la carga mutacional tumoral (TMB) (72 muestras de tejido). Y, por otro lado, de la secuenciación de 256 librerías de TCR o BCR de tejido. Todos los suministros deben ser compatibles con la plataforma NGS Ion S5 del Hospital Puerta de Hierro, la cual se encuentra implantada en el hospital y ha sido la destinada al proyecto desde el inicio del mismo.</w:t>
      </w:r>
    </w:p>
    <w:p w14:paraId="42058447" w14:textId="77777777" w:rsidR="00206C22" w:rsidRDefault="00206C22">
      <w:pPr>
        <w:rPr>
          <w:rFonts w:eastAsia="Calibri" w:cstheme="minorHAnsi"/>
          <w:b/>
          <w:bCs/>
          <w:smallCaps/>
          <w:color w:val="5B9BD5"/>
          <w:spacing w:val="5"/>
        </w:rPr>
      </w:pPr>
    </w:p>
    <w:p w14:paraId="0EAA273A" w14:textId="4F8EE780" w:rsidR="00DE1782" w:rsidRPr="00C62B84" w:rsidRDefault="00DE1782"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3.- JUSTIFICACIÓN DE LA NO DIVISIÓN EN LOTES</w:t>
      </w:r>
    </w:p>
    <w:p w14:paraId="34C5A51F" w14:textId="77777777" w:rsidR="00356D5E" w:rsidRPr="00C62B84" w:rsidRDefault="00356D5E" w:rsidP="00F71F17">
      <w:pPr>
        <w:autoSpaceDE w:val="0"/>
        <w:autoSpaceDN w:val="0"/>
        <w:adjustRightInd w:val="0"/>
        <w:spacing w:after="0" w:line="240" w:lineRule="auto"/>
        <w:jc w:val="both"/>
        <w:rPr>
          <w:rFonts w:eastAsia="Calibri" w:cstheme="minorHAnsi"/>
          <w:b/>
          <w:bCs/>
          <w:smallCaps/>
          <w:color w:val="5B9BD5"/>
          <w:spacing w:val="5"/>
        </w:rPr>
      </w:pPr>
    </w:p>
    <w:p w14:paraId="25522453"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5B484B08"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p>
    <w:p w14:paraId="7F736BA9"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09F638F8"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p>
    <w:p w14:paraId="755FC38A" w14:textId="45F43E43" w:rsidR="001949F0"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La integración del suministro en un único lote permitirá optimizar los recursos y mejorar la eficacia y eficiencia de los mismos ya que en virtud de la interrelación que existe entre las prestaciones, resulta imprescindible a nivel operativo, que la totalidad del contrato sea ejecutado por una sola empresa.</w:t>
      </w:r>
    </w:p>
    <w:p w14:paraId="631A01ED" w14:textId="77777777" w:rsidR="0041449C" w:rsidRDefault="0041449C" w:rsidP="00A066C5">
      <w:pPr>
        <w:pBdr>
          <w:top w:val="nil"/>
          <w:left w:val="nil"/>
          <w:bottom w:val="nil"/>
          <w:right w:val="nil"/>
          <w:between w:val="nil"/>
        </w:pBdr>
        <w:spacing w:after="0" w:line="240" w:lineRule="auto"/>
        <w:jc w:val="both"/>
        <w:rPr>
          <w:rFonts w:eastAsia="Calibri" w:cstheme="minorHAnsi"/>
        </w:rPr>
      </w:pPr>
    </w:p>
    <w:p w14:paraId="37DEF4DE"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lastRenderedPageBreak/>
        <w:t>4.- CODIFICACIÓN DEL OBJETO DEL CONTRATO</w:t>
      </w:r>
    </w:p>
    <w:p w14:paraId="61D32BD5"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p>
    <w:p w14:paraId="7F64A8B5" w14:textId="2F246012" w:rsidR="007077AB" w:rsidRPr="00C62B84" w:rsidRDefault="007077AB"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 xml:space="preserve">A los efectos del Reglamento (CE) Nº 213/2008, de 28 de noviembre de 2007, sobre la codificación correspondiente a la nomenclatura del vocabulario Común de Contratos Públicos (CPV), le corresponde el siguiente código: </w:t>
      </w:r>
      <w:r w:rsidR="00977ADC" w:rsidRPr="00977ADC">
        <w:rPr>
          <w:rFonts w:eastAsia="Calibri" w:cstheme="minorHAnsi"/>
        </w:rPr>
        <w:t>33696500-Reactivos de laboratorio</w:t>
      </w:r>
      <w:r w:rsidRPr="00C62B84">
        <w:rPr>
          <w:rFonts w:eastAsia="Calibri" w:cstheme="minorHAnsi"/>
        </w:rPr>
        <w:t>.</w:t>
      </w:r>
    </w:p>
    <w:p w14:paraId="7005BC5C" w14:textId="77777777" w:rsidR="007077AB" w:rsidRPr="00C62B84" w:rsidRDefault="007077AB" w:rsidP="00F71F17">
      <w:pPr>
        <w:pBdr>
          <w:top w:val="nil"/>
          <w:left w:val="nil"/>
          <w:bottom w:val="nil"/>
          <w:right w:val="nil"/>
          <w:between w:val="nil"/>
        </w:pBdr>
        <w:spacing w:after="0" w:line="240" w:lineRule="auto"/>
        <w:jc w:val="both"/>
        <w:rPr>
          <w:rFonts w:eastAsia="Calibri" w:cstheme="minorHAnsi"/>
        </w:rPr>
      </w:pPr>
    </w:p>
    <w:p w14:paraId="53A93392"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5.- CARACTERÍSTICAS DEL SUMINISTRO</w:t>
      </w:r>
    </w:p>
    <w:p w14:paraId="0DBB6DBB" w14:textId="77777777" w:rsidR="007D3128" w:rsidRPr="00C62B84" w:rsidRDefault="007D3128" w:rsidP="00F71F17">
      <w:pPr>
        <w:autoSpaceDE w:val="0"/>
        <w:autoSpaceDN w:val="0"/>
        <w:adjustRightInd w:val="0"/>
        <w:spacing w:after="0" w:line="240" w:lineRule="auto"/>
        <w:jc w:val="both"/>
        <w:rPr>
          <w:rFonts w:eastAsia="Calibri" w:cstheme="minorHAnsi"/>
          <w:b/>
          <w:bCs/>
          <w:smallCaps/>
          <w:color w:val="5B9BD5"/>
          <w:spacing w:val="5"/>
        </w:rPr>
      </w:pPr>
    </w:p>
    <w:p w14:paraId="1D2C3FC8" w14:textId="339D87E7" w:rsidR="007077AB" w:rsidRPr="00C62B84" w:rsidRDefault="007077AB"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Las características técnicas de</w:t>
      </w:r>
      <w:r w:rsidR="007D3128" w:rsidRPr="00C62B84">
        <w:rPr>
          <w:rFonts w:eastAsia="Calibri" w:cstheme="minorHAnsi"/>
        </w:rPr>
        <w:t>l suministro</w:t>
      </w:r>
      <w:r w:rsidRPr="00C62B84">
        <w:rPr>
          <w:rFonts w:eastAsia="Calibri" w:cstheme="minorHAnsi"/>
        </w:rPr>
        <w:t xml:space="preserve"> que integra el expediente de contratación, se encuentran detalladas en el pliego técnico.</w:t>
      </w:r>
    </w:p>
    <w:p w14:paraId="1218ED69" w14:textId="77777777" w:rsidR="007D3128" w:rsidRPr="00C62B84" w:rsidRDefault="007D3128" w:rsidP="00F71F17">
      <w:pPr>
        <w:pBdr>
          <w:top w:val="nil"/>
          <w:left w:val="nil"/>
          <w:bottom w:val="nil"/>
          <w:right w:val="nil"/>
          <w:between w:val="nil"/>
        </w:pBdr>
        <w:spacing w:after="0" w:line="240" w:lineRule="auto"/>
        <w:jc w:val="both"/>
        <w:rPr>
          <w:rFonts w:eastAsia="Calibri" w:cstheme="minorHAnsi"/>
        </w:rPr>
      </w:pPr>
    </w:p>
    <w:p w14:paraId="4597AA08"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6.- PLAZO DE EJECUCIÓN</w:t>
      </w:r>
    </w:p>
    <w:p w14:paraId="204F6177" w14:textId="77777777" w:rsidR="007D3128" w:rsidRPr="00C62B84" w:rsidRDefault="007D3128" w:rsidP="00F71F17">
      <w:pPr>
        <w:pBdr>
          <w:top w:val="nil"/>
          <w:left w:val="nil"/>
          <w:bottom w:val="nil"/>
          <w:right w:val="nil"/>
          <w:between w:val="nil"/>
        </w:pBdr>
        <w:spacing w:after="0" w:line="240" w:lineRule="auto"/>
        <w:jc w:val="both"/>
        <w:rPr>
          <w:rFonts w:eastAsia="Calibri" w:cstheme="minorHAnsi"/>
        </w:rPr>
      </w:pPr>
    </w:p>
    <w:p w14:paraId="4133D902" w14:textId="425A7C4D" w:rsidR="009A32AD" w:rsidRDefault="00E74D31" w:rsidP="00F71F17">
      <w:pPr>
        <w:pBdr>
          <w:top w:val="nil"/>
          <w:left w:val="nil"/>
          <w:bottom w:val="nil"/>
          <w:right w:val="nil"/>
          <w:between w:val="nil"/>
        </w:pBdr>
        <w:spacing w:after="0" w:line="240" w:lineRule="auto"/>
        <w:jc w:val="both"/>
        <w:rPr>
          <w:rFonts w:eastAsia="Calibri" w:cstheme="minorHAnsi"/>
        </w:rPr>
      </w:pPr>
      <w:r w:rsidRPr="00E74D31">
        <w:rPr>
          <w:rFonts w:eastAsia="Calibri" w:cstheme="minorHAnsi"/>
        </w:rPr>
        <w:t>Se estima que el plazo de ejecución del contrato coincidirá con la duración efectiva del proyecto de Investigación para el que se realiza el servicio cuya finalización está prevista a los 18 meses a contar desde la fecha de adjudicación o hasta el consumo del total de reactivos.</w:t>
      </w:r>
    </w:p>
    <w:p w14:paraId="11FCE73E" w14:textId="77777777" w:rsidR="00E74D31" w:rsidRPr="00C62B84" w:rsidRDefault="00E74D31" w:rsidP="00F71F17">
      <w:pPr>
        <w:pBdr>
          <w:top w:val="nil"/>
          <w:left w:val="nil"/>
          <w:bottom w:val="nil"/>
          <w:right w:val="nil"/>
          <w:between w:val="nil"/>
        </w:pBdr>
        <w:spacing w:after="0" w:line="240" w:lineRule="auto"/>
        <w:jc w:val="both"/>
        <w:rPr>
          <w:rFonts w:eastAsia="Calibri" w:cstheme="minorHAnsi"/>
        </w:rPr>
      </w:pPr>
    </w:p>
    <w:p w14:paraId="428BDA71" w14:textId="10E76EAD" w:rsidR="009A32AD" w:rsidRPr="00C62B84" w:rsidRDefault="009A32AD"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7.- PRESUPUESTO Y VALOR ESTIMADO DEL CONTRATO</w:t>
      </w:r>
    </w:p>
    <w:p w14:paraId="0E42AE66" w14:textId="77777777" w:rsidR="009A32AD" w:rsidRPr="00C62B84" w:rsidRDefault="009A32AD" w:rsidP="00F71F17">
      <w:pPr>
        <w:pBdr>
          <w:top w:val="nil"/>
          <w:left w:val="nil"/>
          <w:bottom w:val="nil"/>
          <w:right w:val="nil"/>
          <w:between w:val="nil"/>
        </w:pBdr>
        <w:spacing w:after="0" w:line="240" w:lineRule="auto"/>
        <w:jc w:val="both"/>
        <w:rPr>
          <w:rFonts w:eastAsia="Calibri" w:cstheme="minorHAnsi"/>
          <w:b/>
          <w:bCs/>
        </w:rPr>
      </w:pPr>
    </w:p>
    <w:p w14:paraId="38065D0B" w14:textId="77777777" w:rsidR="00C7265D" w:rsidRPr="00C62B84" w:rsidRDefault="00C7265D"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2566B448" w14:textId="221DA845"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El presupuesto máximo de licitación del suministro asciende a la cantidad de </w:t>
      </w:r>
      <w:r w:rsidR="000569A5" w:rsidRPr="000569A5">
        <w:rPr>
          <w:rFonts w:eastAsia="Calibri" w:cstheme="minorHAnsi"/>
        </w:rPr>
        <w:t xml:space="preserve">64.752,00 </w:t>
      </w:r>
      <w:r w:rsidRPr="00C62B84">
        <w:rPr>
          <w:rFonts w:eastAsia="Calibri" w:cstheme="minorHAnsi"/>
        </w:rPr>
        <w:t xml:space="preserve">euros, (Base imponible), IVA excluido, el IVA tiene un importe de </w:t>
      </w:r>
      <w:r w:rsidR="003E3354" w:rsidRPr="003E3354">
        <w:rPr>
          <w:rFonts w:eastAsia="Calibri" w:cstheme="minorHAnsi"/>
        </w:rPr>
        <w:t xml:space="preserve">13.597,92 </w:t>
      </w:r>
      <w:r w:rsidRPr="00C62B84">
        <w:rPr>
          <w:rFonts w:eastAsia="Calibri" w:cstheme="minorHAnsi"/>
        </w:rPr>
        <w:t xml:space="preserve">euros, lo que supone un presupuesto de </w:t>
      </w:r>
      <w:r w:rsidR="00DE5183" w:rsidRPr="00DE5183">
        <w:rPr>
          <w:rFonts w:eastAsia="Calibri" w:cstheme="minorHAnsi"/>
        </w:rPr>
        <w:t xml:space="preserve">78.349,92 </w:t>
      </w:r>
      <w:r w:rsidRPr="00C62B84">
        <w:rPr>
          <w:rFonts w:eastAsia="Calibri" w:cstheme="minorHAnsi"/>
        </w:rPr>
        <w:t>euros IVA incluido.</w:t>
      </w:r>
    </w:p>
    <w:p w14:paraId="701F0572" w14:textId="77777777"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El contrato no prevé la revisión de precios, al tratarse de una entrega única.</w:t>
      </w:r>
    </w:p>
    <w:p w14:paraId="7120D7B4" w14:textId="09A710F5"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el cálculo del valor estimado (</w:t>
      </w:r>
      <w:r w:rsidR="0008463A" w:rsidRPr="0008463A">
        <w:rPr>
          <w:rFonts w:eastAsia="Calibri" w:cstheme="minorHAnsi"/>
        </w:rPr>
        <w:t xml:space="preserve">71.227,20 </w:t>
      </w:r>
      <w:r w:rsidRPr="00C62B84">
        <w:rPr>
          <w:rFonts w:eastAsia="Calibri" w:cstheme="minorHAnsi"/>
        </w:rPr>
        <w:t>euros) se ha tenido en consideración el importe total, sin incluir el Impuesto sobre el Valor Añadido.</w:t>
      </w:r>
      <w:r w:rsidR="00537175" w:rsidRPr="00C62B84">
        <w:rPr>
          <w:rFonts w:cstheme="minorHAnsi"/>
        </w:rPr>
        <w:t xml:space="preserve"> </w:t>
      </w:r>
      <w:r w:rsidR="00537175" w:rsidRPr="00C62B84">
        <w:rPr>
          <w:rFonts w:eastAsia="Calibri" w:cstheme="minorHAnsi"/>
        </w:rPr>
        <w:t>El valor estimado contempla el importe máximo previsto para el contrato e incluye la duración inicial y las prórrogas y/o modificaciones previstas</w:t>
      </w:r>
      <w:r w:rsidR="001970ED" w:rsidRPr="00C62B84">
        <w:rPr>
          <w:rFonts w:eastAsia="Calibri" w:cstheme="minorHAnsi"/>
        </w:rPr>
        <w:t>, si las hubiere.</w:t>
      </w:r>
    </w:p>
    <w:p w14:paraId="5C1C8AB6" w14:textId="2FD2BB9B" w:rsidR="009A32A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D04F49">
        <w:rPr>
          <w:rFonts w:eastAsia="Calibri" w:cstheme="minorHAnsi"/>
        </w:rPr>
        <w:t xml:space="preserve">El presupuesto de este contrato está remunerado íntegramente por la Fundación para la Investigación Biomédica del Hospital Universitario Puerta de Hierro Majadahonda y financiado en su totalidad </w:t>
      </w:r>
      <w:r w:rsidR="00DB2244" w:rsidRPr="00D04F49">
        <w:rPr>
          <w:rFonts w:cstheme="minorHAnsi"/>
          <w:spacing w:val="-3"/>
        </w:rPr>
        <w:t>con cargo a fondos propios de la Fundación</w:t>
      </w:r>
      <w:r w:rsidRPr="00D04F49">
        <w:rPr>
          <w:rFonts w:eastAsia="Calibri" w:cstheme="minorHAnsi"/>
        </w:rPr>
        <w:t>.</w:t>
      </w:r>
    </w:p>
    <w:p w14:paraId="35DA35B0" w14:textId="77777777" w:rsidR="00DB2244" w:rsidRPr="00C62B84" w:rsidRDefault="00DB2244" w:rsidP="00F71F17">
      <w:pPr>
        <w:pBdr>
          <w:top w:val="nil"/>
          <w:left w:val="nil"/>
          <w:bottom w:val="nil"/>
          <w:right w:val="nil"/>
          <w:between w:val="nil"/>
        </w:pBdr>
        <w:spacing w:before="240" w:after="0" w:line="240" w:lineRule="auto"/>
        <w:jc w:val="both"/>
        <w:rPr>
          <w:rFonts w:eastAsia="Calibri" w:cstheme="minorHAnsi"/>
        </w:rPr>
      </w:pPr>
    </w:p>
    <w:p w14:paraId="5EC3E3D1" w14:textId="77777777" w:rsidR="00DB2244" w:rsidRPr="00C62B84" w:rsidRDefault="00DB2244" w:rsidP="00DB2244">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8.- PROCEDIMIENTO, FORMA DE ADJUDICACIÓN Y CRITERIOS DE ADJUDICACIÓN </w:t>
      </w:r>
    </w:p>
    <w:p w14:paraId="1C07AA1C" w14:textId="3BF264EC"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A los efectos previstos en el art. 116. 4 de la LCSP, el contrato proyectado se trata de un contrato de suministro y su adjudicación se realizará por procedimiento abierto</w:t>
      </w:r>
      <w:r w:rsidR="00BC2516" w:rsidRPr="00C62B84">
        <w:rPr>
          <w:rFonts w:eastAsia="Calibri" w:cstheme="minorHAnsi"/>
        </w:rPr>
        <w:t xml:space="preserve"> simplificado</w:t>
      </w:r>
      <w:r w:rsidRPr="00C62B84">
        <w:rPr>
          <w:rFonts w:eastAsia="Calibri" w:cstheme="minorHAnsi"/>
        </w:rPr>
        <w:t xml:space="preserve">, al ser el procedimiento de elección previsto en la LCSP, en el que todo empresario interesado podrá presentar una proposición, queda excluida toda negociación de los términos del contrato. </w:t>
      </w:r>
    </w:p>
    <w:p w14:paraId="6D15BE33" w14:textId="77777777"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w:t>
      </w:r>
      <w:r w:rsidRPr="00C62B84">
        <w:rPr>
          <w:rFonts w:eastAsia="Calibri" w:cstheme="minorHAnsi"/>
        </w:rPr>
        <w:lastRenderedPageBreak/>
        <w:t xml:space="preserve">conseguir una adjudicación basada en la mejor calidad/precio desde el punto de vista técnico, alejándose la selección basada únicamente en precio. </w:t>
      </w:r>
    </w:p>
    <w:p w14:paraId="762E960C" w14:textId="77777777"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Cada uno de los criterios cualitativos seleccionados, están relacionados con el objeto del contrato y se han formulado teniendo en cuenta que el contrato proyectado es susceptible de ser mejorado por la aportación de prestaciones complementarias, fijando unos criterios objetivos que mejoran la calidad. </w:t>
      </w:r>
    </w:p>
    <w:p w14:paraId="743F3D5F" w14:textId="77777777"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2C4F794C" w14:textId="57E0890D" w:rsidR="00467FA1"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En consecuencia, los criterios para valorar la mejor relación calidad precio son:</w:t>
      </w:r>
    </w:p>
    <w:p w14:paraId="201C6250" w14:textId="4FA9F926" w:rsidR="00467FA1" w:rsidRDefault="00467FA1" w:rsidP="005329B6">
      <w:pPr>
        <w:pStyle w:val="Prrafodelista"/>
        <w:numPr>
          <w:ilvl w:val="0"/>
          <w:numId w:val="7"/>
        </w:num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Criterios relacionados con los costes, en los que se valorará el precio ofertado, asignando una ponderación de </w:t>
      </w:r>
      <w:r w:rsidR="006E3437" w:rsidRPr="00C62B84">
        <w:rPr>
          <w:rFonts w:eastAsia="Calibri" w:cstheme="minorHAnsi"/>
        </w:rPr>
        <w:t>7</w:t>
      </w:r>
      <w:r w:rsidR="00854533">
        <w:rPr>
          <w:rFonts w:eastAsia="Calibri" w:cstheme="minorHAnsi"/>
        </w:rPr>
        <w:t>0</w:t>
      </w:r>
      <w:r w:rsidRPr="00C62B84">
        <w:rPr>
          <w:rFonts w:eastAsia="Calibri" w:cstheme="minorHAnsi"/>
        </w:rPr>
        <w:t xml:space="preserve"> puntos.</w:t>
      </w:r>
    </w:p>
    <w:p w14:paraId="73008DBD" w14:textId="02493185" w:rsidR="00710621" w:rsidRDefault="00710621" w:rsidP="005329B6">
      <w:pPr>
        <w:pStyle w:val="Prrafodelista"/>
        <w:numPr>
          <w:ilvl w:val="1"/>
          <w:numId w:val="7"/>
        </w:numPr>
        <w:pBdr>
          <w:top w:val="nil"/>
          <w:left w:val="nil"/>
          <w:bottom w:val="nil"/>
          <w:right w:val="nil"/>
          <w:between w:val="nil"/>
        </w:pBdr>
        <w:spacing w:before="240" w:after="0" w:line="240" w:lineRule="auto"/>
        <w:jc w:val="both"/>
        <w:rPr>
          <w:rFonts w:eastAsia="Calibri" w:cstheme="minorHAnsi"/>
        </w:rPr>
      </w:pPr>
      <w:r w:rsidRPr="00710621">
        <w:rPr>
          <w:rFonts w:eastAsia="Calibri" w:cstheme="minorHAnsi"/>
        </w:rPr>
        <w:t>Reactivos para la generación de librerías genómicas que permita la identificación de clones de células T y B de forma independiente, así como de la carga mutacional de los tumores (hasta 5</w:t>
      </w:r>
      <w:r w:rsidR="00854533">
        <w:rPr>
          <w:rFonts w:eastAsia="Calibri" w:cstheme="minorHAnsi"/>
        </w:rPr>
        <w:t>0</w:t>
      </w:r>
      <w:r w:rsidRPr="00710621">
        <w:rPr>
          <w:rFonts w:eastAsia="Calibri" w:cstheme="minorHAnsi"/>
        </w:rPr>
        <w:t xml:space="preserve"> puntos)</w:t>
      </w:r>
    </w:p>
    <w:p w14:paraId="4FF16C05" w14:textId="68CDC863" w:rsidR="00710621" w:rsidRDefault="00B21B98"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B21B98">
        <w:rPr>
          <w:rFonts w:eastAsia="Calibri" w:cstheme="minorHAnsi"/>
        </w:rPr>
        <w:t>Precio ofertado para 24 muestras TCR sangre (hasta 10 puntos)</w:t>
      </w:r>
    </w:p>
    <w:p w14:paraId="7ABFF0B7" w14:textId="52669B2F" w:rsidR="00EF2AB9" w:rsidRDefault="00EF2AB9"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EF2AB9">
        <w:rPr>
          <w:rFonts w:eastAsia="Calibri" w:cstheme="minorHAnsi"/>
        </w:rPr>
        <w:t>Precio ofertado para 72 muestras TCR tejido (hasta 10 puntos)</w:t>
      </w:r>
    </w:p>
    <w:p w14:paraId="7E825B31" w14:textId="327BE8D1" w:rsidR="00EF2AB9" w:rsidRDefault="005350B7"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5350B7">
        <w:rPr>
          <w:rFonts w:eastAsia="Calibri" w:cstheme="minorHAnsi"/>
        </w:rPr>
        <w:t>Precio ofertado para 96 muestras BCR tejido (hasta 1</w:t>
      </w:r>
      <w:r w:rsidR="00854533">
        <w:rPr>
          <w:rFonts w:eastAsia="Calibri" w:cstheme="minorHAnsi"/>
        </w:rPr>
        <w:t>0</w:t>
      </w:r>
      <w:r w:rsidRPr="005350B7">
        <w:rPr>
          <w:rFonts w:eastAsia="Calibri" w:cstheme="minorHAnsi"/>
        </w:rPr>
        <w:t xml:space="preserve"> puntos)</w:t>
      </w:r>
    </w:p>
    <w:p w14:paraId="238D90DD" w14:textId="117166B5" w:rsidR="005350B7" w:rsidRDefault="00AB4CF2"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AB4CF2">
        <w:rPr>
          <w:rFonts w:eastAsia="Calibri" w:cstheme="minorHAnsi"/>
        </w:rPr>
        <w:t>Precio ofertado para 72 muestras para la determinación del TMB en tejido (hasta 10 puntos)</w:t>
      </w:r>
    </w:p>
    <w:p w14:paraId="696C811E" w14:textId="53AFE6A2" w:rsidR="00AB4CF2" w:rsidRDefault="00016AE8"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016AE8">
        <w:rPr>
          <w:rFonts w:eastAsia="Calibri" w:cstheme="minorHAnsi"/>
        </w:rPr>
        <w:t>Precio ofertado para la cuantificación de 264 librerías (hasta 5 puntos)</w:t>
      </w:r>
    </w:p>
    <w:p w14:paraId="2758E1F2" w14:textId="4720BE1A" w:rsidR="00016AE8" w:rsidRDefault="00B742FA"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B742FA">
        <w:rPr>
          <w:rFonts w:eastAsia="Calibri" w:cstheme="minorHAnsi"/>
        </w:rPr>
        <w:t>Precio ofertado para el indexado de 264 librerías (hasta 5 puntos)</w:t>
      </w:r>
    </w:p>
    <w:p w14:paraId="3517A0F5" w14:textId="08101619" w:rsidR="00B742FA" w:rsidRDefault="006353FA" w:rsidP="005329B6">
      <w:pPr>
        <w:pStyle w:val="Prrafodelista"/>
        <w:numPr>
          <w:ilvl w:val="1"/>
          <w:numId w:val="7"/>
        </w:numPr>
        <w:pBdr>
          <w:top w:val="nil"/>
          <w:left w:val="nil"/>
          <w:bottom w:val="nil"/>
          <w:right w:val="nil"/>
          <w:between w:val="nil"/>
        </w:pBdr>
        <w:spacing w:before="240" w:after="0" w:line="240" w:lineRule="auto"/>
        <w:jc w:val="both"/>
        <w:rPr>
          <w:rFonts w:eastAsia="Calibri" w:cstheme="minorHAnsi"/>
        </w:rPr>
      </w:pPr>
      <w:r w:rsidRPr="006353FA">
        <w:rPr>
          <w:rFonts w:eastAsia="Calibri" w:cstheme="minorHAnsi"/>
        </w:rPr>
        <w:t xml:space="preserve">Reactivos de secuenciación masiva de las muestras restantes por secuenciar del </w:t>
      </w:r>
      <w:r w:rsidR="005329B6" w:rsidRPr="006353FA">
        <w:rPr>
          <w:rFonts w:eastAsia="Calibri" w:cstheme="minorHAnsi"/>
        </w:rPr>
        <w:t>proyecto (</w:t>
      </w:r>
      <w:r w:rsidRPr="006353FA">
        <w:rPr>
          <w:rFonts w:eastAsia="Calibri" w:cstheme="minorHAnsi"/>
        </w:rPr>
        <w:t>hasta 20 puntos)</w:t>
      </w:r>
    </w:p>
    <w:p w14:paraId="5B0B6DE2" w14:textId="17B550F2" w:rsidR="006353FA" w:rsidRDefault="008A5953" w:rsidP="005329B6">
      <w:pPr>
        <w:pStyle w:val="Prrafodelista"/>
        <w:numPr>
          <w:ilvl w:val="2"/>
          <w:numId w:val="7"/>
        </w:numPr>
        <w:pBdr>
          <w:top w:val="nil"/>
          <w:left w:val="nil"/>
          <w:bottom w:val="nil"/>
          <w:right w:val="nil"/>
          <w:between w:val="nil"/>
        </w:pBdr>
        <w:spacing w:before="240" w:after="0" w:line="240" w:lineRule="auto"/>
        <w:jc w:val="both"/>
        <w:rPr>
          <w:rFonts w:eastAsia="Calibri" w:cstheme="minorHAnsi"/>
        </w:rPr>
      </w:pPr>
      <w:r w:rsidRPr="008A5953">
        <w:rPr>
          <w:rFonts w:eastAsia="Calibri" w:cstheme="minorHAnsi"/>
        </w:rPr>
        <w:t xml:space="preserve">Precio ofertado para la secuenciación de 256 librerías de BCR o TCR de tejido (reactivos y dispensables) en la plataforma Ion S5 (hasta 20 puntos)  </w:t>
      </w:r>
    </w:p>
    <w:p w14:paraId="238ADC8A" w14:textId="77777777" w:rsidR="00463C21" w:rsidRPr="00C62B84" w:rsidRDefault="00463C21" w:rsidP="007E480E">
      <w:pPr>
        <w:pStyle w:val="Prrafodelista"/>
        <w:pBdr>
          <w:top w:val="nil"/>
          <w:left w:val="nil"/>
          <w:bottom w:val="nil"/>
          <w:right w:val="nil"/>
          <w:between w:val="nil"/>
        </w:pBdr>
        <w:spacing w:before="240" w:after="0" w:line="240" w:lineRule="auto"/>
        <w:ind w:left="1800"/>
        <w:jc w:val="both"/>
        <w:rPr>
          <w:rFonts w:eastAsia="Calibri" w:cstheme="minorHAnsi"/>
        </w:rPr>
      </w:pPr>
    </w:p>
    <w:p w14:paraId="7BF45C5E" w14:textId="3F983784" w:rsidR="00467FA1" w:rsidRPr="00C62B84" w:rsidRDefault="00467FA1" w:rsidP="005329B6">
      <w:pPr>
        <w:pStyle w:val="Prrafodelista"/>
        <w:numPr>
          <w:ilvl w:val="0"/>
          <w:numId w:val="7"/>
        </w:num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Con respecto a los criterios cualitativos, se ha optado por incluir unos criterios evaluables de forma automática por aplicación de fórmulas, asignando una ponderación de </w:t>
      </w:r>
      <w:r w:rsidR="00854533">
        <w:rPr>
          <w:rFonts w:eastAsia="Calibri" w:cstheme="minorHAnsi"/>
        </w:rPr>
        <w:t>30</w:t>
      </w:r>
      <w:r w:rsidRPr="00C62B84">
        <w:rPr>
          <w:rFonts w:eastAsia="Calibri" w:cstheme="minorHAnsi"/>
        </w:rPr>
        <w:t xml:space="preserve"> puntos. </w:t>
      </w:r>
      <w:r w:rsidR="00463C21">
        <w:rPr>
          <w:rFonts w:eastAsia="Calibri" w:cstheme="minorHAnsi"/>
        </w:rPr>
        <w:t>El criterio seleccionado es</w:t>
      </w:r>
      <w:r w:rsidRPr="00C62B84">
        <w:rPr>
          <w:rFonts w:eastAsia="Calibri" w:cstheme="minorHAnsi"/>
        </w:rPr>
        <w:t>:</w:t>
      </w:r>
      <w:r w:rsidR="007E480E">
        <w:rPr>
          <w:rFonts w:eastAsia="Calibri" w:cstheme="minorHAnsi"/>
        </w:rPr>
        <w:t xml:space="preserve"> </w:t>
      </w:r>
      <w:r w:rsidR="007E480E" w:rsidRPr="007E480E">
        <w:rPr>
          <w:rFonts w:eastAsia="Calibri" w:cstheme="minorHAnsi"/>
        </w:rPr>
        <w:t>Criterio relativo a la formación del personal</w:t>
      </w:r>
    </w:p>
    <w:p w14:paraId="6DB16C4B" w14:textId="77777777" w:rsidR="0088259B" w:rsidRPr="00C62B84" w:rsidRDefault="0088259B"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La inclusión de estos criterios de valoración cualitativos objetivos, es potestativa para el órgano de contratación, lo que implica que su falta de presentación no tenga por consecuencia la no valoración de una oferta. Por tanto, mientras el operador económico cumpla con las prescripciones técnicas esenciales que se han definido en la prestación contractual, la falta de presentación de criterios de valoración, no supone su exclusión de la licitación, porque son estos criterios, como se ha dicho, prestaciones adicionales que mejoran la principal, pero que no forman parte de la esencialidad de esta última.</w:t>
      </w:r>
    </w:p>
    <w:p w14:paraId="3C3DAB86" w14:textId="77777777" w:rsidR="0088259B" w:rsidRPr="00C62B84" w:rsidRDefault="0088259B"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La tramitación del expediente para la adjudicación de este contrato es ordinaria y está regulada en los artículos 116 a 117 y el artículo 131, 146.1 y 156 de la LCSP.</w:t>
      </w:r>
    </w:p>
    <w:p w14:paraId="2941A058" w14:textId="24EA0474" w:rsidR="0088259B" w:rsidRPr="00C62B84" w:rsidRDefault="0088259B"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La presentación de proposiciones supone la aceptación por las empresas licitadoras del contenido de los pliegos del expediente.</w:t>
      </w:r>
    </w:p>
    <w:p w14:paraId="6CF279E9" w14:textId="77777777" w:rsidR="008D3750" w:rsidRPr="00C62B84" w:rsidRDefault="008D3750" w:rsidP="0088259B">
      <w:pPr>
        <w:pBdr>
          <w:top w:val="nil"/>
          <w:left w:val="nil"/>
          <w:bottom w:val="nil"/>
          <w:right w:val="nil"/>
          <w:between w:val="nil"/>
        </w:pBdr>
        <w:spacing w:before="240" w:after="0" w:line="240" w:lineRule="auto"/>
        <w:jc w:val="both"/>
        <w:rPr>
          <w:rFonts w:eastAsia="Calibri" w:cstheme="minorHAnsi"/>
        </w:rPr>
      </w:pPr>
    </w:p>
    <w:p w14:paraId="0B7D2BB0" w14:textId="77777777" w:rsidR="008D3750" w:rsidRPr="00C62B84" w:rsidRDefault="008D3750" w:rsidP="008D3750">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 CRITERIOS DE SELECCIÓN: ACREDITACIÓN DE LA SOLVENCIA</w:t>
      </w:r>
    </w:p>
    <w:p w14:paraId="5C01B303" w14:textId="77777777" w:rsidR="008D3750" w:rsidRPr="00C62B84" w:rsidRDefault="008D3750" w:rsidP="008D3750">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483D5D25" w14:textId="77777777" w:rsidR="008D3750" w:rsidRPr="00C62B84" w:rsidRDefault="008D3750" w:rsidP="008D3750">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63BFD325" w14:textId="77777777" w:rsidR="00217A27" w:rsidRPr="00C62B84" w:rsidRDefault="00217A27" w:rsidP="008D3750">
      <w:pPr>
        <w:pBdr>
          <w:top w:val="nil"/>
          <w:left w:val="nil"/>
          <w:bottom w:val="nil"/>
          <w:right w:val="nil"/>
          <w:between w:val="nil"/>
        </w:pBdr>
        <w:spacing w:before="240" w:after="0" w:line="240" w:lineRule="auto"/>
        <w:jc w:val="both"/>
        <w:rPr>
          <w:rFonts w:eastAsia="Calibri" w:cstheme="minorHAnsi"/>
        </w:rPr>
      </w:pPr>
    </w:p>
    <w:p w14:paraId="752B3339" w14:textId="77777777" w:rsidR="008D3750" w:rsidRPr="00C62B84" w:rsidRDefault="008D3750" w:rsidP="008D3750">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9.1.- SOLVENCIA ECONÓMICA Y FINANCIERA</w:t>
      </w:r>
    </w:p>
    <w:p w14:paraId="52E91C3F" w14:textId="77777777" w:rsidR="00FF0EF1" w:rsidRDefault="008D3750" w:rsidP="008D3750">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Se acreditará la solvencia económica y financiera mediante Declaración del empresario indicando el volumen de negocios global de la empresa de los tres últimos ejercicios</w:t>
      </w:r>
      <w:r w:rsidR="00DA4C01" w:rsidRPr="00C62B84">
        <w:rPr>
          <w:rFonts w:eastAsia="Calibri" w:cstheme="minorHAnsi"/>
        </w:rPr>
        <w:t xml:space="preserve"> </w:t>
      </w:r>
      <w:r w:rsidR="00DA4C01" w:rsidRPr="00C62B84">
        <w:rPr>
          <w:rFonts w:cstheme="minorHAnsi"/>
          <w:spacing w:val="-3"/>
        </w:rPr>
        <w:t>concluidos</w:t>
      </w:r>
      <w:r w:rsidRPr="00C62B84">
        <w:rPr>
          <w:rFonts w:eastAsia="Calibri" w:cstheme="minorHAnsi"/>
        </w:rPr>
        <w:t xml:space="preserve">. </w:t>
      </w:r>
    </w:p>
    <w:p w14:paraId="4BC15A31" w14:textId="24F48042" w:rsidR="008D3750" w:rsidRPr="00C62B84" w:rsidRDefault="008D3750" w:rsidP="008D3750">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Además de la declaración, el licitador aportará las Cuentas anuales del mejor ejercicio dentro de los tres últimos disponibles, aprobadas y depositadas en el Registro Mercantil. Para cumplir con la solvencia económica requerida el volumen de negocios mínimo anual deberá ser al menos una vez y media el valor estimado del contrato: </w:t>
      </w:r>
      <w:r w:rsidR="00EF1D6A" w:rsidRPr="00EF1D6A">
        <w:rPr>
          <w:rFonts w:cstheme="minorHAnsi"/>
          <w:spacing w:val="-3"/>
        </w:rPr>
        <w:t xml:space="preserve">71.227,20 € </w:t>
      </w:r>
      <w:r w:rsidR="00DA4C01" w:rsidRPr="00C62B84">
        <w:rPr>
          <w:rFonts w:cstheme="minorHAnsi"/>
          <w:spacing w:val="-3"/>
        </w:rPr>
        <w:t>euros IVA no incluido</w:t>
      </w:r>
      <w:r w:rsidR="00EF1D6A">
        <w:rPr>
          <w:rFonts w:eastAsia="Calibri" w:cstheme="minorHAnsi"/>
        </w:rPr>
        <w:t>.</w:t>
      </w:r>
    </w:p>
    <w:p w14:paraId="4FDAC992" w14:textId="4D170529" w:rsidR="008D3750" w:rsidRPr="00C62B84" w:rsidRDefault="005F5236"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3E845921" w14:textId="1AEBC986" w:rsidR="00930908" w:rsidRPr="00C62B84" w:rsidRDefault="00930908"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70AE6F67" w14:textId="77777777" w:rsidR="00AB741B" w:rsidRPr="00C62B84" w:rsidRDefault="00AB741B" w:rsidP="0088259B">
      <w:pPr>
        <w:pBdr>
          <w:top w:val="nil"/>
          <w:left w:val="nil"/>
          <w:bottom w:val="nil"/>
          <w:right w:val="nil"/>
          <w:between w:val="nil"/>
        </w:pBdr>
        <w:spacing w:before="240" w:after="0" w:line="240" w:lineRule="auto"/>
        <w:jc w:val="both"/>
        <w:rPr>
          <w:rFonts w:eastAsia="Calibri" w:cstheme="minorHAnsi"/>
        </w:rPr>
      </w:pPr>
    </w:p>
    <w:p w14:paraId="0C75E032" w14:textId="77777777" w:rsidR="00AB741B" w:rsidRPr="00C62B84" w:rsidRDefault="00AB741B" w:rsidP="00AB741B">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9.2.- SOLVENCIA TÉCNICA O PROFESIONAL</w:t>
      </w:r>
    </w:p>
    <w:p w14:paraId="21269670" w14:textId="77777777" w:rsidR="00AB741B" w:rsidRPr="00C62B84" w:rsidRDefault="00AB741B" w:rsidP="00AB741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Se acreditará la solvencia técnica de los empresarios que quieran participar en la presente licitación por los siguientes medios:</w:t>
      </w:r>
    </w:p>
    <w:p w14:paraId="26844649" w14:textId="77777777" w:rsidR="00FA0127" w:rsidRDefault="00FA0127" w:rsidP="007B3F83">
      <w:pPr>
        <w:tabs>
          <w:tab w:val="left" w:pos="-1014"/>
          <w:tab w:val="left" w:pos="-720"/>
        </w:tabs>
        <w:autoSpaceDE w:val="0"/>
        <w:autoSpaceDN w:val="0"/>
        <w:adjustRightInd w:val="0"/>
        <w:spacing w:after="0" w:line="240" w:lineRule="atLeast"/>
        <w:jc w:val="both"/>
        <w:rPr>
          <w:rFonts w:eastAsia="Calibri" w:cstheme="minorHAnsi"/>
        </w:rPr>
      </w:pPr>
    </w:p>
    <w:p w14:paraId="73BEF817" w14:textId="52048C21" w:rsidR="007B3F83" w:rsidRPr="00C62B84" w:rsidRDefault="00AB741B" w:rsidP="007B3F83">
      <w:pPr>
        <w:tabs>
          <w:tab w:val="left" w:pos="-1014"/>
          <w:tab w:val="left" w:pos="-720"/>
        </w:tabs>
        <w:autoSpaceDE w:val="0"/>
        <w:autoSpaceDN w:val="0"/>
        <w:adjustRightInd w:val="0"/>
        <w:spacing w:after="0" w:line="240" w:lineRule="atLeast"/>
        <w:jc w:val="both"/>
        <w:rPr>
          <w:rFonts w:cstheme="minorHAnsi"/>
        </w:rPr>
      </w:pPr>
      <w:r w:rsidRPr="00C62B84">
        <w:rPr>
          <w:rFonts w:eastAsia="Calibri" w:cstheme="minorHAnsi"/>
        </w:rPr>
        <w:t xml:space="preserve">Relación de los principales suministros realizados de igual o similar naturaleza que los que constituyen el objeto del contrato en el curso de los tres últimos años, en la que se indique el importe, la fecha y el destinatario, público o privado de los mismos, diferenciado por CPV, y cuyo importe anual acumulado en el año de mayor ejecución sea igual o superior al 70 por ciento </w:t>
      </w:r>
      <w:r w:rsidR="007B3F83" w:rsidRPr="00C62B84">
        <w:rPr>
          <w:rFonts w:cstheme="minorHAnsi"/>
        </w:rPr>
        <w:t xml:space="preserve">del valor anual medio del contrato, en este caso, </w:t>
      </w:r>
      <w:r w:rsidR="0006696F" w:rsidRPr="0006696F">
        <w:rPr>
          <w:rFonts w:cstheme="minorHAnsi"/>
        </w:rPr>
        <w:t xml:space="preserve">33.239,36 </w:t>
      </w:r>
      <w:r w:rsidR="007B3F83" w:rsidRPr="00C62B84">
        <w:rPr>
          <w:rFonts w:cstheme="minorHAnsi"/>
        </w:rPr>
        <w:t xml:space="preserve">euros, </w:t>
      </w:r>
      <w:r w:rsidR="007B3F83" w:rsidRPr="00C62B84">
        <w:rPr>
          <w:rFonts w:cstheme="minorHAnsi"/>
          <w:spacing w:val="-3"/>
        </w:rPr>
        <w:t>IVA no incluido</w:t>
      </w:r>
      <w:r w:rsidR="007B3F83" w:rsidRPr="00C62B84">
        <w:rPr>
          <w:rFonts w:cstheme="minorHAnsi"/>
        </w:rPr>
        <w:t xml:space="preserve">. </w:t>
      </w:r>
    </w:p>
    <w:p w14:paraId="6D5587DD" w14:textId="459973A4" w:rsidR="00930908" w:rsidRPr="00C62B84" w:rsidRDefault="00AB741B" w:rsidP="00AB741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lastRenderedPageBreak/>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65C148A0" w14:textId="77777777" w:rsidR="00D860F8" w:rsidRPr="00C62B84" w:rsidRDefault="00D860F8" w:rsidP="00AB741B">
      <w:pPr>
        <w:pBdr>
          <w:top w:val="nil"/>
          <w:left w:val="nil"/>
          <w:bottom w:val="nil"/>
          <w:right w:val="nil"/>
          <w:between w:val="nil"/>
        </w:pBdr>
        <w:spacing w:before="240" w:after="0" w:line="240" w:lineRule="auto"/>
        <w:jc w:val="both"/>
        <w:rPr>
          <w:rFonts w:eastAsia="Calibri" w:cstheme="minorHAnsi"/>
        </w:rPr>
      </w:pPr>
    </w:p>
    <w:p w14:paraId="530AD7FC"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10.- PAGO DE LOS SUMINISTROS</w:t>
      </w:r>
    </w:p>
    <w:p w14:paraId="052E226B" w14:textId="77777777"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362FACBB" w14:textId="1C0161C1"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La contraprestación se abonará contra factura presentada al Contratante. </w:t>
      </w:r>
    </w:p>
    <w:p w14:paraId="1914E8CC" w14:textId="20AAD64A"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Todos los pagos se verificarán mediante transferencia bancaria, previa recepción de la factura por el contratante. </w:t>
      </w:r>
    </w:p>
    <w:p w14:paraId="22708319" w14:textId="660645EB" w:rsidR="00AB57B5"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Las facturas serán remitidas al siguiente correo: pliegosycontratos@idiphim.org debiendo incluirse en las mismas la referencia del nº del presente expediente.</w:t>
      </w:r>
    </w:p>
    <w:p w14:paraId="5566FDDB" w14:textId="77777777" w:rsidR="003D66F2" w:rsidRPr="00C62B84" w:rsidRDefault="003D66F2" w:rsidP="003D66F2">
      <w:pPr>
        <w:pBdr>
          <w:top w:val="nil"/>
          <w:left w:val="nil"/>
          <w:bottom w:val="nil"/>
          <w:right w:val="nil"/>
          <w:between w:val="nil"/>
        </w:pBdr>
        <w:spacing w:before="240" w:after="0" w:line="240" w:lineRule="auto"/>
        <w:jc w:val="both"/>
        <w:rPr>
          <w:rFonts w:eastAsia="Calibri" w:cstheme="minorHAnsi"/>
        </w:rPr>
      </w:pPr>
    </w:p>
    <w:p w14:paraId="2890D4E8"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11.- CONSTITUCIÓN DE GARANTÍA DEFINITIVA</w:t>
      </w:r>
    </w:p>
    <w:p w14:paraId="5744A2B8" w14:textId="0E206FEA" w:rsidR="00D860F8" w:rsidRPr="00C62B84" w:rsidRDefault="00D860F8" w:rsidP="00D860F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De conformidad con el artículo 107.1 LCSP, los licitadores que presenten las mejores ofertas de conformidad con lo dispuesto en el artículo 145, deberán constituir a disposición del órgano de contratación una garantía definitiva de un 5% de del </w:t>
      </w:r>
      <w:r w:rsidR="00D93273">
        <w:rPr>
          <w:rFonts w:eastAsia="Calibri" w:cstheme="minorHAnsi"/>
        </w:rPr>
        <w:t>presupuesto base de licitación</w:t>
      </w:r>
      <w:r w:rsidRPr="00C62B84">
        <w:rPr>
          <w:rFonts w:eastAsia="Calibri" w:cstheme="minorHAnsi"/>
        </w:rPr>
        <w:t>, IVA excluido.</w:t>
      </w:r>
    </w:p>
    <w:p w14:paraId="6AD78C84" w14:textId="77777777" w:rsidR="00C55374" w:rsidRPr="00C62B84" w:rsidRDefault="00C55374" w:rsidP="00D860F8">
      <w:pPr>
        <w:pBdr>
          <w:top w:val="nil"/>
          <w:left w:val="nil"/>
          <w:bottom w:val="nil"/>
          <w:right w:val="nil"/>
          <w:between w:val="nil"/>
        </w:pBdr>
        <w:spacing w:before="240" w:after="0" w:line="240" w:lineRule="auto"/>
        <w:jc w:val="both"/>
        <w:rPr>
          <w:rFonts w:eastAsia="Calibri" w:cstheme="minorHAnsi"/>
        </w:rPr>
      </w:pPr>
    </w:p>
    <w:p w14:paraId="7F234FE5"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12.- PLAZO DE GARANTÍA DEL SUMINISTRO</w:t>
      </w:r>
    </w:p>
    <w:p w14:paraId="4B83F874" w14:textId="3DB4BBB6" w:rsidR="00C55374" w:rsidRDefault="00650C3B" w:rsidP="00D860F8">
      <w:pPr>
        <w:pBdr>
          <w:top w:val="nil"/>
          <w:left w:val="nil"/>
          <w:bottom w:val="nil"/>
          <w:right w:val="nil"/>
          <w:between w:val="nil"/>
        </w:pBdr>
        <w:spacing w:before="240" w:after="0" w:line="240" w:lineRule="auto"/>
        <w:jc w:val="both"/>
        <w:rPr>
          <w:rFonts w:eastAsia="Calibri" w:cstheme="minorHAnsi"/>
        </w:rPr>
      </w:pPr>
      <w:r w:rsidRPr="00650C3B">
        <w:rPr>
          <w:rFonts w:eastAsia="Calibri" w:cstheme="minorHAnsi"/>
        </w:rPr>
        <w:t>Duración del contrato y sus prórrogas</w:t>
      </w:r>
    </w:p>
    <w:p w14:paraId="5437B475" w14:textId="77777777" w:rsidR="00650C3B" w:rsidRPr="00C62B84" w:rsidRDefault="00650C3B" w:rsidP="00D860F8">
      <w:pPr>
        <w:pBdr>
          <w:top w:val="nil"/>
          <w:left w:val="nil"/>
          <w:bottom w:val="nil"/>
          <w:right w:val="nil"/>
          <w:between w:val="nil"/>
        </w:pBdr>
        <w:spacing w:before="240" w:after="0" w:line="240" w:lineRule="auto"/>
        <w:jc w:val="both"/>
        <w:rPr>
          <w:rFonts w:eastAsia="Calibri" w:cstheme="minorHAnsi"/>
        </w:rPr>
      </w:pPr>
    </w:p>
    <w:p w14:paraId="571C1FE7"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13.- CONDICIONES ESPECIALES DE EJECUCIÓN</w:t>
      </w:r>
    </w:p>
    <w:p w14:paraId="574A51EB" w14:textId="77777777" w:rsidR="009673D4" w:rsidRPr="009673D4" w:rsidRDefault="009673D4" w:rsidP="009673D4">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Incorporación de cláusulas sociales, ambientales y de innovación como condiciones especiales de ejecución:</w:t>
      </w:r>
    </w:p>
    <w:p w14:paraId="733ABAAB" w14:textId="14C9019B" w:rsidR="009673D4" w:rsidRPr="009673D4" w:rsidRDefault="009673D4" w:rsidP="009673D4">
      <w:pPr>
        <w:pBdr>
          <w:top w:val="nil"/>
          <w:left w:val="nil"/>
          <w:bottom w:val="nil"/>
          <w:right w:val="nil"/>
          <w:between w:val="nil"/>
        </w:pBdr>
        <w:spacing w:before="240" w:after="0" w:line="240" w:lineRule="auto"/>
        <w:jc w:val="both"/>
        <w:rPr>
          <w:rFonts w:eastAsia="Calibri" w:cstheme="minorHAnsi"/>
          <w:u w:val="single"/>
        </w:rPr>
      </w:pPr>
      <w:r w:rsidRPr="009673D4">
        <w:rPr>
          <w:rFonts w:eastAsia="Calibri" w:cstheme="minorHAnsi"/>
          <w:u w:val="single"/>
        </w:rPr>
        <w:t xml:space="preserve"> X Como criterios ambientales</w:t>
      </w:r>
    </w:p>
    <w:p w14:paraId="4CE772B3" w14:textId="2540EA2F" w:rsidR="00627BAA" w:rsidRDefault="009673D4" w:rsidP="009673D4">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 xml:space="preserve">Condiciones especiales de ejecución: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  </w:t>
      </w:r>
    </w:p>
    <w:p w14:paraId="6FC1C1C6" w14:textId="77777777" w:rsidR="00D93273" w:rsidRDefault="00D93273" w:rsidP="009673D4">
      <w:pPr>
        <w:pBdr>
          <w:top w:val="nil"/>
          <w:left w:val="nil"/>
          <w:bottom w:val="nil"/>
          <w:right w:val="nil"/>
          <w:between w:val="nil"/>
        </w:pBdr>
        <w:spacing w:before="240" w:after="0" w:line="240" w:lineRule="auto"/>
        <w:jc w:val="both"/>
        <w:rPr>
          <w:rFonts w:eastAsia="Calibri" w:cstheme="minorHAnsi"/>
        </w:rPr>
      </w:pPr>
    </w:p>
    <w:p w14:paraId="1595F31C" w14:textId="77777777" w:rsidR="00D93273" w:rsidRDefault="00D93273" w:rsidP="009673D4">
      <w:pPr>
        <w:pBdr>
          <w:top w:val="nil"/>
          <w:left w:val="nil"/>
          <w:bottom w:val="nil"/>
          <w:right w:val="nil"/>
          <w:between w:val="nil"/>
        </w:pBdr>
        <w:spacing w:before="240" w:after="0" w:line="240" w:lineRule="auto"/>
        <w:jc w:val="both"/>
        <w:rPr>
          <w:rFonts w:eastAsia="Calibri" w:cstheme="minorHAnsi"/>
        </w:rPr>
      </w:pPr>
    </w:p>
    <w:p w14:paraId="66303090" w14:textId="77777777" w:rsidR="00D93273" w:rsidRDefault="00D93273" w:rsidP="009673D4">
      <w:pPr>
        <w:pBdr>
          <w:top w:val="nil"/>
          <w:left w:val="nil"/>
          <w:bottom w:val="nil"/>
          <w:right w:val="nil"/>
          <w:between w:val="nil"/>
        </w:pBdr>
        <w:spacing w:before="240" w:after="0" w:line="240" w:lineRule="auto"/>
        <w:jc w:val="both"/>
        <w:rPr>
          <w:rFonts w:eastAsia="Calibri" w:cstheme="minorHAnsi"/>
        </w:rPr>
      </w:pPr>
    </w:p>
    <w:p w14:paraId="31743DB0" w14:textId="77777777"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POR EL ÓRGANO DE CONTRATACIÓN </w:t>
      </w:r>
    </w:p>
    <w:p w14:paraId="536F5B0F" w14:textId="77777777"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Presidente del Patronato y de la Comisión Delegada </w:t>
      </w:r>
    </w:p>
    <w:p w14:paraId="1EE273F8" w14:textId="72052B48"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FIBHUPH</w:t>
      </w:r>
    </w:p>
    <w:sectPr w:rsidR="009F44D5" w:rsidRPr="00C62B84" w:rsidSect="00700673">
      <w:headerReference w:type="default" r:id="rId7"/>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BBA85" w14:textId="77777777" w:rsidR="00180BAE" w:rsidRDefault="00180BAE" w:rsidP="00700673">
      <w:pPr>
        <w:spacing w:after="0" w:line="240" w:lineRule="auto"/>
      </w:pPr>
      <w:r>
        <w:separator/>
      </w:r>
    </w:p>
  </w:endnote>
  <w:endnote w:type="continuationSeparator" w:id="0">
    <w:p w14:paraId="053593BD" w14:textId="77777777" w:rsidR="00180BAE" w:rsidRDefault="00180BAE" w:rsidP="0070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ACCCC" w14:textId="77777777" w:rsidR="00180BAE" w:rsidRDefault="00180BAE" w:rsidP="00700673">
      <w:pPr>
        <w:spacing w:after="0" w:line="240" w:lineRule="auto"/>
      </w:pPr>
      <w:r>
        <w:separator/>
      </w:r>
    </w:p>
  </w:footnote>
  <w:footnote w:type="continuationSeparator" w:id="0">
    <w:p w14:paraId="3C90B1AF" w14:textId="77777777" w:rsidR="00180BAE" w:rsidRDefault="00180BAE" w:rsidP="00700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DFADE" w14:textId="5BD4D2AD" w:rsidR="00700673" w:rsidRDefault="00700673">
    <w:pPr>
      <w:pStyle w:val="Encabezado"/>
    </w:pPr>
    <w:r w:rsidRPr="000F5998">
      <w:rPr>
        <w:rFonts w:cs="Arial"/>
        <w:noProof/>
        <w:sz w:val="20"/>
        <w:szCs w:val="20"/>
        <w:lang w:eastAsia="es-ES"/>
      </w:rPr>
      <w:drawing>
        <wp:inline distT="0" distB="0" distL="0" distR="0" wp14:anchorId="0EA32525" wp14:editId="23D4BE4E">
          <wp:extent cx="2641410" cy="514088"/>
          <wp:effectExtent l="0" t="0" r="6985" b="635"/>
          <wp:docPr id="996743073" name="Imagen 996743073"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2404" cy="5707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C33F5"/>
    <w:multiLevelType w:val="hybridMultilevel"/>
    <w:tmpl w:val="1B7CD230"/>
    <w:lvl w:ilvl="0" w:tplc="70F26856">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78548CC"/>
    <w:multiLevelType w:val="hybridMultilevel"/>
    <w:tmpl w:val="1FE031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9840C9"/>
    <w:multiLevelType w:val="hybridMultilevel"/>
    <w:tmpl w:val="1E7E2F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1BD2C77"/>
    <w:multiLevelType w:val="hybridMultilevel"/>
    <w:tmpl w:val="67C674B6"/>
    <w:lvl w:ilvl="0" w:tplc="0C0A0001">
      <w:start w:val="1"/>
      <w:numFmt w:val="bullet"/>
      <w:lvlText w:val=""/>
      <w:lvlJc w:val="left"/>
      <w:pPr>
        <w:ind w:left="1457" w:hanging="360"/>
      </w:pPr>
      <w:rPr>
        <w:rFonts w:ascii="Symbol" w:hAnsi="Symbol" w:hint="default"/>
      </w:rPr>
    </w:lvl>
    <w:lvl w:ilvl="1" w:tplc="0C0A0003" w:tentative="1">
      <w:start w:val="1"/>
      <w:numFmt w:val="bullet"/>
      <w:lvlText w:val="o"/>
      <w:lvlJc w:val="left"/>
      <w:pPr>
        <w:ind w:left="2177" w:hanging="360"/>
      </w:pPr>
      <w:rPr>
        <w:rFonts w:ascii="Courier New" w:hAnsi="Courier New" w:cs="Courier New" w:hint="default"/>
      </w:rPr>
    </w:lvl>
    <w:lvl w:ilvl="2" w:tplc="0C0A0005" w:tentative="1">
      <w:start w:val="1"/>
      <w:numFmt w:val="bullet"/>
      <w:lvlText w:val=""/>
      <w:lvlJc w:val="left"/>
      <w:pPr>
        <w:ind w:left="2897" w:hanging="360"/>
      </w:pPr>
      <w:rPr>
        <w:rFonts w:ascii="Wingdings" w:hAnsi="Wingdings" w:hint="default"/>
      </w:rPr>
    </w:lvl>
    <w:lvl w:ilvl="3" w:tplc="0C0A0001" w:tentative="1">
      <w:start w:val="1"/>
      <w:numFmt w:val="bullet"/>
      <w:lvlText w:val=""/>
      <w:lvlJc w:val="left"/>
      <w:pPr>
        <w:ind w:left="3617" w:hanging="360"/>
      </w:pPr>
      <w:rPr>
        <w:rFonts w:ascii="Symbol" w:hAnsi="Symbol" w:hint="default"/>
      </w:rPr>
    </w:lvl>
    <w:lvl w:ilvl="4" w:tplc="0C0A0003" w:tentative="1">
      <w:start w:val="1"/>
      <w:numFmt w:val="bullet"/>
      <w:lvlText w:val="o"/>
      <w:lvlJc w:val="left"/>
      <w:pPr>
        <w:ind w:left="4337" w:hanging="360"/>
      </w:pPr>
      <w:rPr>
        <w:rFonts w:ascii="Courier New" w:hAnsi="Courier New" w:cs="Courier New" w:hint="default"/>
      </w:rPr>
    </w:lvl>
    <w:lvl w:ilvl="5" w:tplc="0C0A0005" w:tentative="1">
      <w:start w:val="1"/>
      <w:numFmt w:val="bullet"/>
      <w:lvlText w:val=""/>
      <w:lvlJc w:val="left"/>
      <w:pPr>
        <w:ind w:left="5057" w:hanging="360"/>
      </w:pPr>
      <w:rPr>
        <w:rFonts w:ascii="Wingdings" w:hAnsi="Wingdings" w:hint="default"/>
      </w:rPr>
    </w:lvl>
    <w:lvl w:ilvl="6" w:tplc="0C0A0001" w:tentative="1">
      <w:start w:val="1"/>
      <w:numFmt w:val="bullet"/>
      <w:lvlText w:val=""/>
      <w:lvlJc w:val="left"/>
      <w:pPr>
        <w:ind w:left="5777" w:hanging="360"/>
      </w:pPr>
      <w:rPr>
        <w:rFonts w:ascii="Symbol" w:hAnsi="Symbol" w:hint="default"/>
      </w:rPr>
    </w:lvl>
    <w:lvl w:ilvl="7" w:tplc="0C0A0003" w:tentative="1">
      <w:start w:val="1"/>
      <w:numFmt w:val="bullet"/>
      <w:lvlText w:val="o"/>
      <w:lvlJc w:val="left"/>
      <w:pPr>
        <w:ind w:left="6497" w:hanging="360"/>
      </w:pPr>
      <w:rPr>
        <w:rFonts w:ascii="Courier New" w:hAnsi="Courier New" w:cs="Courier New" w:hint="default"/>
      </w:rPr>
    </w:lvl>
    <w:lvl w:ilvl="8" w:tplc="0C0A0005" w:tentative="1">
      <w:start w:val="1"/>
      <w:numFmt w:val="bullet"/>
      <w:lvlText w:val=""/>
      <w:lvlJc w:val="left"/>
      <w:pPr>
        <w:ind w:left="7217" w:hanging="360"/>
      </w:pPr>
      <w:rPr>
        <w:rFonts w:ascii="Wingdings" w:hAnsi="Wingdings" w:hint="default"/>
      </w:rPr>
    </w:lvl>
  </w:abstractNum>
  <w:abstractNum w:abstractNumId="4" w15:restartNumberingAfterBreak="0">
    <w:nsid w:val="6D692550"/>
    <w:multiLevelType w:val="hybridMultilevel"/>
    <w:tmpl w:val="54E66D6A"/>
    <w:lvl w:ilvl="0" w:tplc="70F2685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6F5278E0"/>
    <w:multiLevelType w:val="hybridMultilevel"/>
    <w:tmpl w:val="C63686F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7C732A30"/>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4"/>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C7"/>
    <w:rsid w:val="00016AE8"/>
    <w:rsid w:val="000569A5"/>
    <w:rsid w:val="0006696F"/>
    <w:rsid w:val="0008463A"/>
    <w:rsid w:val="000C70C1"/>
    <w:rsid w:val="001014AF"/>
    <w:rsid w:val="00132A74"/>
    <w:rsid w:val="00180BAE"/>
    <w:rsid w:val="001949F0"/>
    <w:rsid w:val="001970ED"/>
    <w:rsid w:val="001D0197"/>
    <w:rsid w:val="001E04E8"/>
    <w:rsid w:val="00206C22"/>
    <w:rsid w:val="00217A27"/>
    <w:rsid w:val="00243C9A"/>
    <w:rsid w:val="002A4793"/>
    <w:rsid w:val="002A496F"/>
    <w:rsid w:val="00356D5E"/>
    <w:rsid w:val="003D66F2"/>
    <w:rsid w:val="003E3354"/>
    <w:rsid w:val="0041449C"/>
    <w:rsid w:val="00463C21"/>
    <w:rsid w:val="00467FA1"/>
    <w:rsid w:val="005329B6"/>
    <w:rsid w:val="005350B7"/>
    <w:rsid w:val="00537175"/>
    <w:rsid w:val="005519CC"/>
    <w:rsid w:val="00592593"/>
    <w:rsid w:val="005E635B"/>
    <w:rsid w:val="005F5236"/>
    <w:rsid w:val="00602A1C"/>
    <w:rsid w:val="00627BAA"/>
    <w:rsid w:val="006353FA"/>
    <w:rsid w:val="00650C3B"/>
    <w:rsid w:val="00671E8B"/>
    <w:rsid w:val="006E3437"/>
    <w:rsid w:val="00700673"/>
    <w:rsid w:val="007077AB"/>
    <w:rsid w:val="00710621"/>
    <w:rsid w:val="00765E7A"/>
    <w:rsid w:val="007716BB"/>
    <w:rsid w:val="0079571F"/>
    <w:rsid w:val="007B0DC4"/>
    <w:rsid w:val="007B3F83"/>
    <w:rsid w:val="007D3128"/>
    <w:rsid w:val="007E480E"/>
    <w:rsid w:val="008118E2"/>
    <w:rsid w:val="00854533"/>
    <w:rsid w:val="0088259B"/>
    <w:rsid w:val="008A5953"/>
    <w:rsid w:val="008D3750"/>
    <w:rsid w:val="0091370B"/>
    <w:rsid w:val="00913B9C"/>
    <w:rsid w:val="00930908"/>
    <w:rsid w:val="009673D4"/>
    <w:rsid w:val="00977ADC"/>
    <w:rsid w:val="009A32AD"/>
    <w:rsid w:val="009D25A6"/>
    <w:rsid w:val="009F44D5"/>
    <w:rsid w:val="00A066C5"/>
    <w:rsid w:val="00A111DB"/>
    <w:rsid w:val="00A819DD"/>
    <w:rsid w:val="00A83266"/>
    <w:rsid w:val="00AB4CF2"/>
    <w:rsid w:val="00AB57B5"/>
    <w:rsid w:val="00AB741B"/>
    <w:rsid w:val="00B21B98"/>
    <w:rsid w:val="00B32A50"/>
    <w:rsid w:val="00B47209"/>
    <w:rsid w:val="00B742FA"/>
    <w:rsid w:val="00BA434A"/>
    <w:rsid w:val="00BC2516"/>
    <w:rsid w:val="00C01A5C"/>
    <w:rsid w:val="00C55374"/>
    <w:rsid w:val="00C62B84"/>
    <w:rsid w:val="00C7265D"/>
    <w:rsid w:val="00C9505E"/>
    <w:rsid w:val="00CA6A94"/>
    <w:rsid w:val="00CF3942"/>
    <w:rsid w:val="00D04F49"/>
    <w:rsid w:val="00D55CCE"/>
    <w:rsid w:val="00D75B48"/>
    <w:rsid w:val="00D772D7"/>
    <w:rsid w:val="00D860F8"/>
    <w:rsid w:val="00D93273"/>
    <w:rsid w:val="00DA4C01"/>
    <w:rsid w:val="00DB2244"/>
    <w:rsid w:val="00DE14BC"/>
    <w:rsid w:val="00DE1782"/>
    <w:rsid w:val="00DE5183"/>
    <w:rsid w:val="00E15018"/>
    <w:rsid w:val="00E74D31"/>
    <w:rsid w:val="00ED75C7"/>
    <w:rsid w:val="00EF1D6A"/>
    <w:rsid w:val="00EF2AB9"/>
    <w:rsid w:val="00F71F17"/>
    <w:rsid w:val="00F80CD9"/>
    <w:rsid w:val="00FA0127"/>
    <w:rsid w:val="00FB7E0C"/>
    <w:rsid w:val="00FF0EF1"/>
    <w:rsid w:val="00FF3A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75F5"/>
  <w15:chartTrackingRefBased/>
  <w15:docId w15:val="{1BDA8767-8110-4C4B-B181-A0315A54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067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00673"/>
  </w:style>
  <w:style w:type="paragraph" w:styleId="Piedepgina">
    <w:name w:val="footer"/>
    <w:basedOn w:val="Normal"/>
    <w:link w:val="PiedepginaCar"/>
    <w:uiPriority w:val="99"/>
    <w:unhideWhenUsed/>
    <w:rsid w:val="0070067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0673"/>
  </w:style>
  <w:style w:type="paragraph" w:styleId="Prrafodelista">
    <w:name w:val="List Paragraph"/>
    <w:basedOn w:val="Normal"/>
    <w:uiPriority w:val="34"/>
    <w:qFormat/>
    <w:rsid w:val="00D55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2166</Words>
  <Characters>11914</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Madrid Digital</dc:creator>
  <cp:keywords/>
  <dc:description/>
  <cp:lastModifiedBy>Neira Álvarez.Fernando</cp:lastModifiedBy>
  <cp:revision>2</cp:revision>
  <dcterms:created xsi:type="dcterms:W3CDTF">2024-12-05T13:41:00Z</dcterms:created>
  <dcterms:modified xsi:type="dcterms:W3CDTF">2024-12-05T13:41:00Z</dcterms:modified>
</cp:coreProperties>
</file>