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3CCBEF7" w:rsidR="006015A5" w:rsidRDefault="006015A5" w:rsidP="001C277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C6C7E">
        <w:rPr>
          <w:rFonts w:asciiTheme="minorHAnsi" w:hAnsiTheme="minorHAnsi" w:cstheme="minorHAnsi"/>
          <w:i/>
          <w:sz w:val="24"/>
          <w:szCs w:val="24"/>
        </w:rPr>
        <w:t>PLAZOS DE ENTREGA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</w:p>
    <w:p w14:paraId="4159FD3B" w14:textId="08BF960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1C277C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FAEEBE7" w14:textId="6DC25CB4" w:rsidR="006E04CF" w:rsidRDefault="006E04CF" w:rsidP="006E04C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Pr="00AD7FF0">
        <w:rPr>
          <w:rFonts w:asciiTheme="minorHAnsi" w:hAnsiTheme="minorHAnsi" w:cstheme="minorHAnsi"/>
          <w:u w:val="single"/>
        </w:rPr>
        <w:t xml:space="preserve">e compromete al suministro de </w:t>
      </w:r>
      <w:proofErr w:type="gramStart"/>
      <w:r w:rsidRPr="00AD7FF0">
        <w:rPr>
          <w:rFonts w:asciiTheme="minorHAnsi" w:hAnsiTheme="minorHAnsi" w:cstheme="minorHAnsi"/>
          <w:u w:val="single"/>
        </w:rPr>
        <w:t xml:space="preserve">las </w:t>
      </w:r>
      <w:r w:rsidR="00641F04">
        <w:rPr>
          <w:rFonts w:asciiTheme="minorHAnsi" w:hAnsiTheme="minorHAnsi" w:cstheme="minorHAnsi"/>
          <w:u w:val="single"/>
        </w:rPr>
        <w:t>productos</w:t>
      </w:r>
      <w:r w:rsidRPr="00AD7FF0">
        <w:rPr>
          <w:rFonts w:asciiTheme="minorHAnsi" w:hAnsiTheme="minorHAnsi" w:cstheme="minorHAnsi"/>
          <w:u w:val="single"/>
        </w:rPr>
        <w:t xml:space="preserve"> originales</w:t>
      </w:r>
      <w:proofErr w:type="gramEnd"/>
      <w:r w:rsidRPr="00AD7FF0">
        <w:rPr>
          <w:rFonts w:asciiTheme="minorHAnsi" w:hAnsiTheme="minorHAnsi" w:cstheme="minorHAnsi"/>
          <w:u w:val="single"/>
        </w:rPr>
        <w:t xml:space="preserve"> </w:t>
      </w:r>
      <w:r w:rsidR="00641F04">
        <w:rPr>
          <w:rFonts w:asciiTheme="minorHAnsi" w:hAnsiTheme="minorHAnsi" w:cstheme="minorHAnsi"/>
          <w:u w:val="single"/>
        </w:rPr>
        <w:t xml:space="preserve">del fabricante de las referencias </w:t>
      </w:r>
      <w:r w:rsidRPr="00AD7FF0">
        <w:rPr>
          <w:rFonts w:asciiTheme="minorHAnsi" w:hAnsiTheme="minorHAnsi" w:cstheme="minorHAnsi"/>
          <w:u w:val="single"/>
        </w:rPr>
        <w:t>actualmente homologadas por Metro de Madrid</w:t>
      </w:r>
      <w:r w:rsidRPr="00AD7FF0">
        <w:rPr>
          <w:rFonts w:asciiTheme="minorHAnsi" w:hAnsiTheme="minorHAnsi" w:cstheme="minorHAnsi"/>
        </w:rPr>
        <w:t xml:space="preserve">, según las </w:t>
      </w:r>
      <w:r>
        <w:rPr>
          <w:rFonts w:asciiTheme="minorHAnsi" w:hAnsiTheme="minorHAnsi" w:cstheme="minorHAnsi"/>
        </w:rPr>
        <w:t>condiciones establecidas</w:t>
      </w:r>
      <w:r w:rsidRPr="00AD7FF0">
        <w:rPr>
          <w:rFonts w:asciiTheme="minorHAnsi" w:hAnsiTheme="minorHAnsi" w:cstheme="minorHAnsi"/>
        </w:rPr>
        <w:t xml:space="preserve"> en </w:t>
      </w:r>
      <w:r>
        <w:rPr>
          <w:rFonts w:asciiTheme="minorHAnsi" w:hAnsiTheme="minorHAnsi" w:cstheme="minorHAnsi"/>
        </w:rPr>
        <w:t>el pliego de prescripciones técnicas</w:t>
      </w:r>
      <w:r w:rsidRPr="00AD7FF0">
        <w:rPr>
          <w:rFonts w:asciiTheme="minorHAnsi" w:hAnsiTheme="minorHAnsi" w:cstheme="minorHAnsi"/>
        </w:rPr>
        <w:t xml:space="preserve">. </w:t>
      </w:r>
    </w:p>
    <w:p w14:paraId="3E7EAB74" w14:textId="5E72BC0B" w:rsidR="00AC6C7E" w:rsidRDefault="00AC6C7E" w:rsidP="00AC6C7E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Los productos suministrados serán nuevos y originales del fabricante de la referencia homologada. No se admitirá material recuperado, aunque sea del mismo fabricante. </w:t>
      </w:r>
    </w:p>
    <w:p w14:paraId="5BC5D1BD" w14:textId="5B4E896F" w:rsidR="006E04CF" w:rsidRPr="00982604" w:rsidRDefault="006E04CF" w:rsidP="006E04C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no superará</w:t>
      </w:r>
      <w:r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 xml:space="preserve">las </w:t>
      </w:r>
      <w:r w:rsidR="00DB6ECD">
        <w:rPr>
          <w:rFonts w:asciiTheme="minorHAnsi" w:hAnsiTheme="minorHAnsi" w:cstheme="minorHAnsi"/>
          <w:u w:val="single"/>
        </w:rPr>
        <w:t>diez</w:t>
      </w:r>
      <w:r w:rsidR="00AC6C7E">
        <w:rPr>
          <w:rFonts w:asciiTheme="minorHAnsi" w:hAnsiTheme="minorHAnsi" w:cstheme="minorHAnsi"/>
          <w:u w:val="single"/>
        </w:rPr>
        <w:t xml:space="preserve"> (</w:t>
      </w:r>
      <w:r w:rsidR="00DB6ECD">
        <w:rPr>
          <w:rFonts w:asciiTheme="minorHAnsi" w:hAnsiTheme="minorHAnsi" w:cstheme="minorHAnsi"/>
          <w:u w:val="single"/>
        </w:rPr>
        <w:t>10</w:t>
      </w:r>
      <w:r w:rsidR="00AC6C7E">
        <w:rPr>
          <w:rFonts w:asciiTheme="minorHAnsi" w:hAnsiTheme="minorHAnsi" w:cstheme="minorHAnsi"/>
          <w:u w:val="single"/>
        </w:rPr>
        <w:t>) semanas</w:t>
      </w:r>
      <w:r w:rsidRPr="00982604">
        <w:rPr>
          <w:rFonts w:asciiTheme="minorHAnsi" w:hAnsiTheme="minorHAnsi" w:cstheme="minorHAnsi"/>
        </w:rPr>
        <w:t xml:space="preserve"> establecid</w:t>
      </w:r>
      <w:r w:rsidR="00AC6C7E"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al que a continuación se indica: </w:t>
      </w:r>
    </w:p>
    <w:tbl>
      <w:tblPr>
        <w:tblW w:w="7938" w:type="dxa"/>
        <w:tblInd w:w="557" w:type="dxa"/>
        <w:tblBorders>
          <w:top w:val="single" w:sz="8" w:space="0" w:color="203764"/>
          <w:left w:val="single" w:sz="8" w:space="0" w:color="203764"/>
          <w:bottom w:val="single" w:sz="8" w:space="0" w:color="203764"/>
          <w:right w:val="single" w:sz="8" w:space="0" w:color="203764"/>
          <w:insideH w:val="single" w:sz="8" w:space="0" w:color="203764"/>
          <w:insideV w:val="single" w:sz="8" w:space="0" w:color="203764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908"/>
        <w:gridCol w:w="3728"/>
        <w:gridCol w:w="2693"/>
      </w:tblGrid>
      <w:tr w:rsidR="0084274F" w:rsidRPr="00AC6C7E" w14:paraId="3952AE8A" w14:textId="77777777" w:rsidTr="0084274F">
        <w:trPr>
          <w:trHeight w:val="727"/>
        </w:trPr>
        <w:tc>
          <w:tcPr>
            <w:tcW w:w="609" w:type="dxa"/>
            <w:shd w:val="clear" w:color="auto" w:fill="4F81BD" w:themeFill="accent1"/>
            <w:noWrap/>
            <w:vAlign w:val="center"/>
            <w:hideMark/>
          </w:tcPr>
          <w:p w14:paraId="6AD8F0F7" w14:textId="4552AEF6" w:rsidR="0084274F" w:rsidRPr="00AC6C7E" w:rsidRDefault="0084274F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EDEDED"/>
              </w:rPr>
            </w:pPr>
            <w:r w:rsidRPr="00AC6C7E">
              <w:rPr>
                <w:rFonts w:eastAsia="Times New Roman" w:cs="Calibri"/>
                <w:b/>
                <w:bCs/>
                <w:i/>
                <w:iCs/>
                <w:color w:val="EDEDED"/>
              </w:rPr>
              <w:t>POS.</w:t>
            </w:r>
          </w:p>
        </w:tc>
        <w:tc>
          <w:tcPr>
            <w:tcW w:w="908" w:type="dxa"/>
            <w:shd w:val="clear" w:color="auto" w:fill="4F81BD" w:themeFill="accent1"/>
            <w:vAlign w:val="center"/>
            <w:hideMark/>
          </w:tcPr>
          <w:p w14:paraId="1FA11CEF" w14:textId="7A5723E0" w:rsidR="0084274F" w:rsidRPr="00AC6C7E" w:rsidRDefault="0084274F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EDEDED"/>
              </w:rPr>
            </w:pPr>
            <w:r w:rsidRPr="00AC6C7E">
              <w:rPr>
                <w:rFonts w:eastAsia="Times New Roman" w:cs="Calibri"/>
                <w:b/>
                <w:bCs/>
                <w:i/>
                <w:iCs/>
                <w:color w:val="EDEDED"/>
              </w:rPr>
              <w:t>REF. INTERNA DE METRO</w:t>
            </w:r>
          </w:p>
        </w:tc>
        <w:tc>
          <w:tcPr>
            <w:tcW w:w="3728" w:type="dxa"/>
            <w:shd w:val="clear" w:color="auto" w:fill="4F81BD" w:themeFill="accent1"/>
            <w:noWrap/>
            <w:vAlign w:val="center"/>
            <w:hideMark/>
          </w:tcPr>
          <w:p w14:paraId="02DFB134" w14:textId="12D50B0A" w:rsidR="0084274F" w:rsidRPr="00AC6C7E" w:rsidRDefault="0084274F" w:rsidP="00AC6C7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EDEDED"/>
              </w:rPr>
            </w:pPr>
            <w:r w:rsidRPr="00AC6C7E">
              <w:rPr>
                <w:rFonts w:eastAsia="Times New Roman" w:cs="Calibri"/>
                <w:b/>
                <w:bCs/>
                <w:i/>
                <w:iCs/>
                <w:color w:val="EDEDED"/>
              </w:rPr>
              <w:t>DENOMINACIÓN</w:t>
            </w:r>
          </w:p>
        </w:tc>
        <w:tc>
          <w:tcPr>
            <w:tcW w:w="2693" w:type="dxa"/>
            <w:shd w:val="clear" w:color="auto" w:fill="4F81BD" w:themeFill="accent1"/>
            <w:vAlign w:val="center"/>
            <w:hideMark/>
          </w:tcPr>
          <w:p w14:paraId="725EC905" w14:textId="206E62A7" w:rsidR="0084274F" w:rsidRPr="00AC6C7E" w:rsidRDefault="0084274F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</w:rPr>
            </w:pPr>
            <w:r w:rsidRPr="00AC6C7E">
              <w:rPr>
                <w:rFonts w:eastAsia="Times New Roman" w:cs="Calibri"/>
                <w:b/>
                <w:bCs/>
                <w:i/>
                <w:iCs/>
                <w:color w:val="FFFFFF"/>
              </w:rPr>
              <w:t xml:space="preserve">PLAZO DE </w:t>
            </w:r>
            <w:r>
              <w:rPr>
                <w:rFonts w:eastAsia="Times New Roman" w:cs="Calibri"/>
                <w:b/>
                <w:bCs/>
                <w:i/>
                <w:iCs/>
                <w:color w:val="FFFFFF"/>
              </w:rPr>
              <w:t>SUMINISTRO</w:t>
            </w:r>
            <w:r w:rsidRPr="00AC6C7E">
              <w:rPr>
                <w:rFonts w:eastAsia="Times New Roman" w:cs="Calibri"/>
                <w:b/>
                <w:bCs/>
                <w:i/>
                <w:iCs/>
                <w:color w:val="FFFFFF"/>
              </w:rPr>
              <w:t xml:space="preserve"> </w:t>
            </w:r>
            <w:r w:rsidRPr="00AC6C7E">
              <w:rPr>
                <w:rFonts w:eastAsia="Times New Roman" w:cs="Calibri"/>
                <w:b/>
                <w:bCs/>
                <w:i/>
                <w:iCs/>
                <w:color w:val="FFFFFF"/>
              </w:rPr>
              <w:br/>
              <w:t>(</w:t>
            </w:r>
            <w:r>
              <w:rPr>
                <w:rFonts w:eastAsia="Times New Roman" w:cs="Calibri"/>
                <w:b/>
                <w:bCs/>
                <w:i/>
                <w:iCs/>
                <w:color w:val="FFFFFF"/>
              </w:rPr>
              <w:t>SEMANAS</w:t>
            </w:r>
            <w:r w:rsidRPr="00AC6C7E">
              <w:rPr>
                <w:rFonts w:eastAsia="Times New Roman" w:cs="Calibri"/>
                <w:b/>
                <w:bCs/>
                <w:i/>
                <w:iCs/>
                <w:color w:val="FFFFFF"/>
              </w:rPr>
              <w:t>)</w:t>
            </w:r>
          </w:p>
        </w:tc>
      </w:tr>
      <w:tr w:rsidR="0084274F" w:rsidRPr="00AC6C7E" w14:paraId="70367B90" w14:textId="77777777" w:rsidTr="0084274F">
        <w:trPr>
          <w:trHeight w:val="470"/>
        </w:trPr>
        <w:tc>
          <w:tcPr>
            <w:tcW w:w="609" w:type="dxa"/>
            <w:shd w:val="clear" w:color="auto" w:fill="DBE5F1" w:themeFill="accent1" w:themeFillTint="33"/>
            <w:noWrap/>
            <w:vAlign w:val="center"/>
            <w:hideMark/>
          </w:tcPr>
          <w:p w14:paraId="6CBCFD09" w14:textId="3E60366C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C6C7E">
              <w:rPr>
                <w:rFonts w:eastAsia="Times New Roman" w:cs="Calibri"/>
                <w:color w:val="000000"/>
              </w:rPr>
              <w:t>01</w:t>
            </w:r>
          </w:p>
        </w:tc>
        <w:tc>
          <w:tcPr>
            <w:tcW w:w="908" w:type="dxa"/>
            <w:shd w:val="clear" w:color="auto" w:fill="DBE5F1" w:themeFill="accent1" w:themeFillTint="33"/>
            <w:noWrap/>
            <w:vAlign w:val="center"/>
            <w:hideMark/>
          </w:tcPr>
          <w:p w14:paraId="29444625" w14:textId="573AB960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78F1">
              <w:t>112470</w:t>
            </w:r>
          </w:p>
        </w:tc>
        <w:tc>
          <w:tcPr>
            <w:tcW w:w="3728" w:type="dxa"/>
            <w:shd w:val="clear" w:color="auto" w:fill="DBE5F1" w:themeFill="accent1" w:themeFillTint="33"/>
            <w:vAlign w:val="center"/>
            <w:hideMark/>
          </w:tcPr>
          <w:p w14:paraId="3B43C74B" w14:textId="5F153A99" w:rsidR="0084274F" w:rsidRPr="00AC6C7E" w:rsidRDefault="0084274F" w:rsidP="0084274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BE78F1">
              <w:t>ANALIZADOR SATEC PM 172 E (TRAFO SS.AA.)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FC769E7" w14:textId="254DD6C5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84274F" w:rsidRPr="00AC6C7E" w14:paraId="16549A57" w14:textId="77777777" w:rsidTr="0084274F">
        <w:trPr>
          <w:trHeight w:val="470"/>
        </w:trPr>
        <w:tc>
          <w:tcPr>
            <w:tcW w:w="609" w:type="dxa"/>
            <w:shd w:val="clear" w:color="auto" w:fill="DBE5F1" w:themeFill="accent1" w:themeFillTint="33"/>
            <w:noWrap/>
            <w:vAlign w:val="center"/>
            <w:hideMark/>
          </w:tcPr>
          <w:p w14:paraId="752F2970" w14:textId="0C14976B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C6C7E">
              <w:rPr>
                <w:rFonts w:eastAsia="Times New Roman" w:cs="Calibri"/>
                <w:color w:val="000000"/>
              </w:rPr>
              <w:t>02</w:t>
            </w:r>
          </w:p>
        </w:tc>
        <w:tc>
          <w:tcPr>
            <w:tcW w:w="908" w:type="dxa"/>
            <w:shd w:val="clear" w:color="auto" w:fill="DBE5F1" w:themeFill="accent1" w:themeFillTint="33"/>
            <w:noWrap/>
            <w:vAlign w:val="center"/>
            <w:hideMark/>
          </w:tcPr>
          <w:p w14:paraId="2D559DB5" w14:textId="61819D21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78F1">
              <w:t>112481</w:t>
            </w:r>
          </w:p>
        </w:tc>
        <w:tc>
          <w:tcPr>
            <w:tcW w:w="3728" w:type="dxa"/>
            <w:shd w:val="clear" w:color="auto" w:fill="DBE5F1" w:themeFill="accent1" w:themeFillTint="33"/>
            <w:vAlign w:val="center"/>
            <w:hideMark/>
          </w:tcPr>
          <w:p w14:paraId="488FF182" w14:textId="7B2A0FE1" w:rsidR="0084274F" w:rsidRPr="00AC6C7E" w:rsidRDefault="0084274F" w:rsidP="0084274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BE78F1">
              <w:t>ANALIZADOR SATEC PM 172 E (CABLES 15 kV)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1827F25" w14:textId="2B3AD88C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84274F" w:rsidRPr="00AC6C7E" w14:paraId="14BFBC81" w14:textId="77777777" w:rsidTr="0084274F">
        <w:trPr>
          <w:trHeight w:val="470"/>
        </w:trPr>
        <w:tc>
          <w:tcPr>
            <w:tcW w:w="609" w:type="dxa"/>
            <w:shd w:val="clear" w:color="auto" w:fill="DBE5F1" w:themeFill="accent1" w:themeFillTint="33"/>
            <w:noWrap/>
            <w:vAlign w:val="center"/>
            <w:hideMark/>
          </w:tcPr>
          <w:p w14:paraId="46B1C4A9" w14:textId="0D01909B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C6C7E">
              <w:rPr>
                <w:rFonts w:eastAsia="Times New Roman" w:cs="Calibri"/>
                <w:color w:val="000000"/>
              </w:rPr>
              <w:t>03</w:t>
            </w:r>
          </w:p>
        </w:tc>
        <w:tc>
          <w:tcPr>
            <w:tcW w:w="908" w:type="dxa"/>
            <w:shd w:val="clear" w:color="auto" w:fill="DBE5F1" w:themeFill="accent1" w:themeFillTint="33"/>
            <w:noWrap/>
            <w:vAlign w:val="center"/>
            <w:hideMark/>
          </w:tcPr>
          <w:p w14:paraId="2CD2650E" w14:textId="5927B6DB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78F1">
              <w:t>112493</w:t>
            </w:r>
          </w:p>
        </w:tc>
        <w:tc>
          <w:tcPr>
            <w:tcW w:w="3728" w:type="dxa"/>
            <w:shd w:val="clear" w:color="auto" w:fill="DBE5F1" w:themeFill="accent1" w:themeFillTint="33"/>
            <w:vAlign w:val="center"/>
            <w:hideMark/>
          </w:tcPr>
          <w:p w14:paraId="1E7BA5E0" w14:textId="5F0E2F4D" w:rsidR="0084274F" w:rsidRPr="00AC6C7E" w:rsidRDefault="0084274F" w:rsidP="0084274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BE78F1">
              <w:t>ANALIZADOR SATEC PM 175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EE7FC1D" w14:textId="027EEFC7" w:rsidR="0084274F" w:rsidRPr="00AC6C7E" w:rsidRDefault="0084274F" w:rsidP="00DB6ECD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en-GB"/>
              </w:rPr>
            </w:pPr>
          </w:p>
        </w:tc>
      </w:tr>
    </w:tbl>
    <w:p w14:paraId="3A15917E" w14:textId="77777777" w:rsidR="00654FE7" w:rsidRPr="00223F2C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14B2CDE5" w14:textId="77777777" w:rsidR="00B71B80" w:rsidRPr="00B71B80" w:rsidRDefault="00B71B80" w:rsidP="00B71B8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2A919186" w14:textId="3A62F8BB" w:rsidR="00B71B80" w:rsidRDefault="00B71B80" w:rsidP="00B71B80">
      <w:pPr>
        <w:pStyle w:val="Textosinformato"/>
        <w:spacing w:before="120"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B71B80">
        <w:rPr>
          <w:rFonts w:asciiTheme="minorHAnsi" w:hAnsiTheme="minorHAnsi" w:cstheme="minorHAnsi"/>
          <w:i/>
          <w:sz w:val="18"/>
          <w:szCs w:val="18"/>
        </w:rPr>
        <w:t>Se deberá indicar el plazo de suministro.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>No se admitirán ofertas que superen l</w:t>
      </w:r>
      <w:r w:rsidR="00AC6C7E">
        <w:rPr>
          <w:rFonts w:asciiTheme="minorHAnsi" w:hAnsiTheme="minorHAnsi" w:cstheme="minorHAnsi"/>
          <w:i/>
          <w:sz w:val="18"/>
          <w:szCs w:val="18"/>
          <w:u w:val="single"/>
        </w:rPr>
        <w:t>a</w:t>
      </w:r>
      <w:r w:rsidR="00AC6C7E" w:rsidRPr="00AC6C7E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="00DB6ECD">
        <w:rPr>
          <w:rFonts w:asciiTheme="minorHAnsi" w:hAnsiTheme="minorHAnsi" w:cstheme="minorHAnsi"/>
          <w:i/>
          <w:sz w:val="18"/>
          <w:szCs w:val="18"/>
          <w:u w:val="single"/>
        </w:rPr>
        <w:t>diez</w:t>
      </w:r>
      <w:r w:rsidR="00AC6C7E" w:rsidRPr="00AC6C7E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DB6ECD">
        <w:rPr>
          <w:rFonts w:asciiTheme="minorHAnsi" w:hAnsiTheme="minorHAnsi" w:cstheme="minorHAnsi"/>
          <w:i/>
          <w:sz w:val="18"/>
          <w:szCs w:val="18"/>
          <w:u w:val="single"/>
        </w:rPr>
        <w:t>10</w:t>
      </w:r>
      <w:r w:rsidR="00AC6C7E" w:rsidRPr="00AC6C7E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 w:rsidR="00111179">
        <w:rPr>
          <w:rFonts w:asciiTheme="minorHAnsi" w:hAnsiTheme="minorHAnsi" w:cstheme="minorHAnsi"/>
          <w:i/>
          <w:sz w:val="18"/>
          <w:szCs w:val="18"/>
          <w:u w:val="single"/>
        </w:rPr>
        <w:t xml:space="preserve">, </w:t>
      </w:r>
      <w:r w:rsidR="00111179" w:rsidRPr="00111179">
        <w:rPr>
          <w:rFonts w:asciiTheme="minorHAnsi" w:hAnsiTheme="minorHAnsi" w:cstheme="minorHAnsi"/>
          <w:i/>
          <w:sz w:val="18"/>
          <w:szCs w:val="18"/>
        </w:rPr>
        <w:t>contadas desde la fecha de emisión y envío de la correspondiente orden de entrega, hasta el suministro del repuesto en el almacén central de Metro</w:t>
      </w:r>
      <w:r w:rsidRPr="00111179">
        <w:rPr>
          <w:rFonts w:asciiTheme="minorHAnsi" w:hAnsiTheme="minorHAnsi" w:cstheme="minorHAnsi"/>
          <w:i/>
          <w:sz w:val="18"/>
          <w:szCs w:val="18"/>
        </w:rPr>
        <w:t>.</w:t>
      </w:r>
      <w:r w:rsidR="00641F0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19516ECD" w14:textId="64147222" w:rsidR="00595F1E" w:rsidRDefault="00595F1E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44D148A1" w14:textId="77777777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2E5B458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40FFB614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7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8F009" w14:textId="77777777" w:rsidR="00D91A73" w:rsidRDefault="00D91A73" w:rsidP="006026D8">
      <w:pPr>
        <w:spacing w:line="240" w:lineRule="auto"/>
      </w:pPr>
      <w:r>
        <w:separator/>
      </w:r>
    </w:p>
  </w:endnote>
  <w:endnote w:type="continuationSeparator" w:id="0">
    <w:p w14:paraId="1199BA7A" w14:textId="77777777" w:rsidR="00D91A73" w:rsidRDefault="00D91A7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59A47" w14:textId="77777777" w:rsidR="00D91A73" w:rsidRDefault="00D91A73" w:rsidP="006026D8">
      <w:pPr>
        <w:spacing w:line="240" w:lineRule="auto"/>
      </w:pPr>
      <w:r>
        <w:separator/>
      </w:r>
    </w:p>
  </w:footnote>
  <w:footnote w:type="continuationSeparator" w:id="0">
    <w:p w14:paraId="566971BB" w14:textId="77777777" w:rsidR="00D91A73" w:rsidRDefault="00D91A7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28B5FCF5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647577">
    <w:abstractNumId w:val="7"/>
  </w:num>
  <w:num w:numId="2" w16cid:durableId="522938772">
    <w:abstractNumId w:val="10"/>
  </w:num>
  <w:num w:numId="3" w16cid:durableId="1847939816">
    <w:abstractNumId w:val="5"/>
  </w:num>
  <w:num w:numId="4" w16cid:durableId="754479689">
    <w:abstractNumId w:val="6"/>
  </w:num>
  <w:num w:numId="5" w16cid:durableId="89759657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97005375">
    <w:abstractNumId w:val="4"/>
  </w:num>
  <w:num w:numId="7" w16cid:durableId="1587421662">
    <w:abstractNumId w:val="9"/>
  </w:num>
  <w:num w:numId="8" w16cid:durableId="1384403188">
    <w:abstractNumId w:val="2"/>
  </w:num>
  <w:num w:numId="9" w16cid:durableId="1051080461">
    <w:abstractNumId w:val="3"/>
  </w:num>
  <w:num w:numId="10" w16cid:durableId="822085685">
    <w:abstractNumId w:val="0"/>
  </w:num>
  <w:num w:numId="11" w16cid:durableId="330564185">
    <w:abstractNumId w:val="1"/>
  </w:num>
  <w:num w:numId="12" w16cid:durableId="123727678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05A2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14C4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179"/>
    <w:rsid w:val="00111930"/>
    <w:rsid w:val="001142CD"/>
    <w:rsid w:val="0011498E"/>
    <w:rsid w:val="00116F06"/>
    <w:rsid w:val="00116FF7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277C"/>
    <w:rsid w:val="001C30BD"/>
    <w:rsid w:val="001C3111"/>
    <w:rsid w:val="001C3D57"/>
    <w:rsid w:val="001C683C"/>
    <w:rsid w:val="001D18F1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3BDE"/>
    <w:rsid w:val="001F5B69"/>
    <w:rsid w:val="002008DF"/>
    <w:rsid w:val="00204383"/>
    <w:rsid w:val="002048B3"/>
    <w:rsid w:val="00210F4F"/>
    <w:rsid w:val="00212263"/>
    <w:rsid w:val="00215C0F"/>
    <w:rsid w:val="00215CE6"/>
    <w:rsid w:val="00221775"/>
    <w:rsid w:val="002231F0"/>
    <w:rsid w:val="00223F2C"/>
    <w:rsid w:val="00225CC7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1B2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5A84"/>
    <w:rsid w:val="002C6072"/>
    <w:rsid w:val="002D3228"/>
    <w:rsid w:val="002D3D1F"/>
    <w:rsid w:val="002E2597"/>
    <w:rsid w:val="002E32D1"/>
    <w:rsid w:val="002E6E7A"/>
    <w:rsid w:val="002F14F1"/>
    <w:rsid w:val="002F1C4D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82CB2"/>
    <w:rsid w:val="0038447E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014D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3251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67D0"/>
    <w:rsid w:val="00486274"/>
    <w:rsid w:val="00490A5D"/>
    <w:rsid w:val="00494A24"/>
    <w:rsid w:val="004A0FE1"/>
    <w:rsid w:val="004B2B6F"/>
    <w:rsid w:val="004B3334"/>
    <w:rsid w:val="004B35AD"/>
    <w:rsid w:val="004B4BA1"/>
    <w:rsid w:val="004B53DC"/>
    <w:rsid w:val="004B70BA"/>
    <w:rsid w:val="004D167C"/>
    <w:rsid w:val="004D2AE7"/>
    <w:rsid w:val="004D536D"/>
    <w:rsid w:val="004D761D"/>
    <w:rsid w:val="004E55D5"/>
    <w:rsid w:val="004F0ADF"/>
    <w:rsid w:val="004F1D48"/>
    <w:rsid w:val="004F2ACD"/>
    <w:rsid w:val="004F2F5B"/>
    <w:rsid w:val="004F3A40"/>
    <w:rsid w:val="004F505B"/>
    <w:rsid w:val="004F6366"/>
    <w:rsid w:val="00507923"/>
    <w:rsid w:val="00510277"/>
    <w:rsid w:val="005120C4"/>
    <w:rsid w:val="00530A13"/>
    <w:rsid w:val="00531B2F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6272A"/>
    <w:rsid w:val="005631B5"/>
    <w:rsid w:val="0056723C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5F1E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0B8"/>
    <w:rsid w:val="006026D8"/>
    <w:rsid w:val="00606501"/>
    <w:rsid w:val="006109C0"/>
    <w:rsid w:val="0061723A"/>
    <w:rsid w:val="006224D6"/>
    <w:rsid w:val="006234A8"/>
    <w:rsid w:val="00627EE1"/>
    <w:rsid w:val="0063244E"/>
    <w:rsid w:val="00632AEC"/>
    <w:rsid w:val="00633076"/>
    <w:rsid w:val="00637811"/>
    <w:rsid w:val="00637B0B"/>
    <w:rsid w:val="006417B1"/>
    <w:rsid w:val="00641F04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6127"/>
    <w:rsid w:val="00681A30"/>
    <w:rsid w:val="00686EF0"/>
    <w:rsid w:val="0069211A"/>
    <w:rsid w:val="00695FFF"/>
    <w:rsid w:val="006A59A9"/>
    <w:rsid w:val="006B05CC"/>
    <w:rsid w:val="006B130D"/>
    <w:rsid w:val="006B2CFD"/>
    <w:rsid w:val="006C42CC"/>
    <w:rsid w:val="006C71ED"/>
    <w:rsid w:val="006D7F85"/>
    <w:rsid w:val="006E04CF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2B6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103"/>
    <w:rsid w:val="00834B0D"/>
    <w:rsid w:val="00835EF7"/>
    <w:rsid w:val="00836526"/>
    <w:rsid w:val="0084274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1C34"/>
    <w:rsid w:val="008B5748"/>
    <w:rsid w:val="008B71E0"/>
    <w:rsid w:val="008C0896"/>
    <w:rsid w:val="008C439F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16689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35E2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3E00"/>
    <w:rsid w:val="00A143D0"/>
    <w:rsid w:val="00A153D1"/>
    <w:rsid w:val="00A27A4C"/>
    <w:rsid w:val="00A301A4"/>
    <w:rsid w:val="00A34D21"/>
    <w:rsid w:val="00A40058"/>
    <w:rsid w:val="00A409AF"/>
    <w:rsid w:val="00A5034B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C6C7E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67B3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1B80"/>
    <w:rsid w:val="00B74915"/>
    <w:rsid w:val="00B76E99"/>
    <w:rsid w:val="00B80F94"/>
    <w:rsid w:val="00B81063"/>
    <w:rsid w:val="00B81830"/>
    <w:rsid w:val="00B82A2E"/>
    <w:rsid w:val="00B83AF3"/>
    <w:rsid w:val="00B906BD"/>
    <w:rsid w:val="00B93FC1"/>
    <w:rsid w:val="00B962AD"/>
    <w:rsid w:val="00B96CFC"/>
    <w:rsid w:val="00BA44DD"/>
    <w:rsid w:val="00BA6A89"/>
    <w:rsid w:val="00BA7068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2978"/>
    <w:rsid w:val="00C830A2"/>
    <w:rsid w:val="00C85298"/>
    <w:rsid w:val="00C85A73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1A73"/>
    <w:rsid w:val="00D92F67"/>
    <w:rsid w:val="00D9307C"/>
    <w:rsid w:val="00D9548B"/>
    <w:rsid w:val="00D96CA3"/>
    <w:rsid w:val="00DB0F0F"/>
    <w:rsid w:val="00DB12AD"/>
    <w:rsid w:val="00DB6ECD"/>
    <w:rsid w:val="00DB7130"/>
    <w:rsid w:val="00DC3D1C"/>
    <w:rsid w:val="00DD08C9"/>
    <w:rsid w:val="00DD096E"/>
    <w:rsid w:val="00DD161F"/>
    <w:rsid w:val="00DD32F0"/>
    <w:rsid w:val="00DD4637"/>
    <w:rsid w:val="00DD5CBF"/>
    <w:rsid w:val="00DD721C"/>
    <w:rsid w:val="00DD7CAF"/>
    <w:rsid w:val="00DE15C7"/>
    <w:rsid w:val="00DE1F99"/>
    <w:rsid w:val="00DE263D"/>
    <w:rsid w:val="00DE4AB6"/>
    <w:rsid w:val="00DE4F1C"/>
    <w:rsid w:val="00DE61D5"/>
    <w:rsid w:val="00DE7A2E"/>
    <w:rsid w:val="00DF5888"/>
    <w:rsid w:val="00DF6E29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365C4"/>
    <w:rsid w:val="00E376AB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3B2"/>
    <w:rsid w:val="00F07C2E"/>
    <w:rsid w:val="00F07F2D"/>
    <w:rsid w:val="00F134E5"/>
    <w:rsid w:val="00F13CF1"/>
    <w:rsid w:val="00F15ED4"/>
    <w:rsid w:val="00F1725F"/>
    <w:rsid w:val="00F209D1"/>
    <w:rsid w:val="00F21A13"/>
    <w:rsid w:val="00F22845"/>
    <w:rsid w:val="00F23BF8"/>
    <w:rsid w:val="00F23CAC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3FE"/>
    <w:rsid w:val="00F7680A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362F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uiPriority w:val="99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msonormal">
    <w:name w:val="x_msonormal"/>
    <w:basedOn w:val="Normal"/>
    <w:rsid w:val="00686EF0"/>
    <w:pPr>
      <w:spacing w:line="240" w:lineRule="auto"/>
    </w:pPr>
    <w:rPr>
      <w:rFonts w:eastAsiaTheme="minorHAnsi" w:cs="Calibri"/>
      <w:sz w:val="22"/>
      <w:szCs w:val="22"/>
    </w:rPr>
  </w:style>
  <w:style w:type="character" w:customStyle="1" w:styleId="sku">
    <w:name w:val="sku"/>
    <w:basedOn w:val="Fuentedeprrafopredeter"/>
    <w:rsid w:val="00686EF0"/>
  </w:style>
  <w:style w:type="paragraph" w:styleId="Revisin">
    <w:name w:val="Revision"/>
    <w:hidden/>
    <w:uiPriority w:val="99"/>
    <w:semiHidden/>
    <w:rsid w:val="00641F0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2025-01-14T13:56:00Z</dcterms:created>
  <dcterms:modified xsi:type="dcterms:W3CDTF">2025-01-14T13:56:00Z</dcterms:modified>
</cp:coreProperties>
</file>