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2DEAD" w14:textId="77777777"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r w:rsidR="00613247">
        <w:rPr>
          <w:rFonts w:asciiTheme="minorHAnsi" w:hAnsiTheme="minorHAnsi" w:cstheme="minorHAnsi"/>
          <w:i/>
          <w:sz w:val="24"/>
          <w:szCs w:val="24"/>
        </w:rPr>
        <w:t>I</w:t>
      </w:r>
      <w:r w:rsidR="002A6E7F">
        <w:rPr>
          <w:rFonts w:asciiTheme="minorHAnsi" w:hAnsiTheme="minorHAnsi" w:cstheme="minorHAnsi"/>
          <w:i/>
          <w:sz w:val="24"/>
          <w:szCs w:val="24"/>
        </w:rPr>
        <w:t xml:space="preserve"> OFERTA TÉCNICA</w:t>
      </w:r>
      <w:bookmarkEnd w:id="0"/>
    </w:p>
    <w:p w14:paraId="467573E1" w14:textId="77777777" w:rsidR="009252C7" w:rsidRPr="009252C7" w:rsidRDefault="009252C7" w:rsidP="009252C7">
      <w:pPr>
        <w:rPr>
          <w:b/>
          <w:i/>
          <w:color w:val="C00000"/>
          <w:sz w:val="18"/>
          <w:szCs w:val="18"/>
        </w:rPr>
      </w:pPr>
      <w:r w:rsidRPr="003D61AB">
        <w:rPr>
          <w:b/>
          <w:i/>
          <w:color w:val="C00000"/>
          <w:sz w:val="18"/>
          <w:szCs w:val="18"/>
        </w:rPr>
        <w:t xml:space="preserve">*A incluir en la carpeta </w:t>
      </w:r>
      <w:r w:rsidR="00613247">
        <w:rPr>
          <w:b/>
          <w:i/>
          <w:color w:val="C00000"/>
          <w:sz w:val="18"/>
          <w:szCs w:val="18"/>
        </w:rPr>
        <w:t>nº2</w:t>
      </w:r>
    </w:p>
    <w:p w14:paraId="22EB6132" w14:textId="77777777" w:rsidR="00CC056C" w:rsidRPr="00CC056C" w:rsidRDefault="00CC056C" w:rsidP="00CC056C"/>
    <w:p w14:paraId="3AFC8891"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050FEE82"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4F3D9DCF" w14:textId="77777777" w:rsidR="002231F0" w:rsidRDefault="002231F0" w:rsidP="002231F0">
      <w:pPr>
        <w:pStyle w:val="Textosinformato"/>
        <w:spacing w:after="120" w:line="312" w:lineRule="auto"/>
        <w:jc w:val="both"/>
        <w:rPr>
          <w:rFonts w:asciiTheme="minorHAnsi" w:hAnsiTheme="minorHAnsi" w:cstheme="minorHAnsi"/>
          <w:sz w:val="22"/>
          <w:szCs w:val="22"/>
        </w:rPr>
      </w:pPr>
    </w:p>
    <w:p w14:paraId="09DBEAF7" w14:textId="77777777" w:rsidR="002231F0" w:rsidRPr="00CC056C" w:rsidRDefault="002231F0" w:rsidP="002231F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54D1B443" w14:textId="1387B9E4" w:rsidR="0035379F" w:rsidRPr="00050318" w:rsidRDefault="00050318" w:rsidP="0035379F">
      <w:pPr>
        <w:pStyle w:val="Textosinformato"/>
        <w:numPr>
          <w:ilvl w:val="0"/>
          <w:numId w:val="8"/>
        </w:numPr>
        <w:spacing w:after="120" w:line="312" w:lineRule="auto"/>
        <w:jc w:val="both"/>
        <w:rPr>
          <w:rFonts w:asciiTheme="minorHAnsi" w:hAnsiTheme="minorHAnsi" w:cstheme="minorHAnsi"/>
          <w:i/>
          <w:sz w:val="22"/>
          <w:szCs w:val="22"/>
        </w:rPr>
      </w:pPr>
      <w:r>
        <w:rPr>
          <w:rFonts w:asciiTheme="minorHAnsi" w:hAnsiTheme="minorHAnsi" w:cstheme="minorHAnsi"/>
          <w:sz w:val="22"/>
          <w:szCs w:val="22"/>
        </w:rPr>
        <w:t>El</w:t>
      </w:r>
      <w:r w:rsidR="0035379F" w:rsidRPr="00741056">
        <w:rPr>
          <w:rFonts w:asciiTheme="minorHAnsi" w:hAnsiTheme="minorHAnsi" w:cstheme="minorHAnsi"/>
          <w:sz w:val="22"/>
          <w:szCs w:val="22"/>
        </w:rPr>
        <w:t xml:space="preserve"> plazo de suministro </w:t>
      </w:r>
      <w:r w:rsidR="0035379F" w:rsidRPr="00C704D1">
        <w:rPr>
          <w:rFonts w:asciiTheme="minorHAnsi" w:hAnsiTheme="minorHAnsi" w:cstheme="minorHAnsi"/>
          <w:sz w:val="22"/>
          <w:szCs w:val="22"/>
          <w:u w:val="single"/>
        </w:rPr>
        <w:t xml:space="preserve">no </w:t>
      </w:r>
      <w:r w:rsidRPr="00C704D1">
        <w:rPr>
          <w:rFonts w:asciiTheme="minorHAnsi" w:hAnsiTheme="minorHAnsi" w:cstheme="minorHAnsi"/>
          <w:sz w:val="22"/>
          <w:szCs w:val="22"/>
          <w:u w:val="single"/>
        </w:rPr>
        <w:t>podrá superar</w:t>
      </w:r>
      <w:r w:rsidR="0035379F" w:rsidRPr="00C704D1">
        <w:rPr>
          <w:rFonts w:asciiTheme="minorHAnsi" w:hAnsiTheme="minorHAnsi" w:cstheme="minorHAnsi"/>
          <w:sz w:val="22"/>
          <w:szCs w:val="22"/>
          <w:u w:val="single"/>
        </w:rPr>
        <w:t xml:space="preserve"> las </w:t>
      </w:r>
      <w:r w:rsidR="00C704D1" w:rsidRPr="00C704D1">
        <w:rPr>
          <w:rFonts w:asciiTheme="minorHAnsi" w:hAnsiTheme="minorHAnsi" w:cstheme="minorHAnsi"/>
          <w:sz w:val="22"/>
          <w:szCs w:val="22"/>
          <w:u w:val="single"/>
        </w:rPr>
        <w:t>veinti</w:t>
      </w:r>
      <w:r w:rsidR="00D45411">
        <w:rPr>
          <w:rFonts w:asciiTheme="minorHAnsi" w:hAnsiTheme="minorHAnsi" w:cstheme="minorHAnsi"/>
          <w:sz w:val="22"/>
          <w:szCs w:val="22"/>
          <w:u w:val="single"/>
        </w:rPr>
        <w:t>cinco</w:t>
      </w:r>
      <w:r w:rsidR="00B73192" w:rsidRPr="00C704D1">
        <w:rPr>
          <w:rFonts w:asciiTheme="minorHAnsi" w:hAnsiTheme="minorHAnsi" w:cstheme="minorHAnsi"/>
          <w:sz w:val="22"/>
          <w:szCs w:val="22"/>
          <w:u w:val="single"/>
        </w:rPr>
        <w:t xml:space="preserve"> (</w:t>
      </w:r>
      <w:r w:rsidR="00C704D1" w:rsidRPr="00C704D1">
        <w:rPr>
          <w:rFonts w:asciiTheme="minorHAnsi" w:hAnsiTheme="minorHAnsi" w:cstheme="minorHAnsi"/>
          <w:sz w:val="22"/>
          <w:szCs w:val="22"/>
          <w:u w:val="single"/>
        </w:rPr>
        <w:t>2</w:t>
      </w:r>
      <w:r w:rsidR="00D45411">
        <w:rPr>
          <w:rFonts w:asciiTheme="minorHAnsi" w:hAnsiTheme="minorHAnsi" w:cstheme="minorHAnsi"/>
          <w:sz w:val="22"/>
          <w:szCs w:val="22"/>
          <w:u w:val="single"/>
        </w:rPr>
        <w:t>5</w:t>
      </w:r>
      <w:r w:rsidR="00B73192" w:rsidRPr="00C704D1">
        <w:rPr>
          <w:rFonts w:asciiTheme="minorHAnsi" w:hAnsiTheme="minorHAnsi" w:cstheme="minorHAnsi"/>
          <w:sz w:val="22"/>
          <w:szCs w:val="22"/>
          <w:u w:val="single"/>
        </w:rPr>
        <w:t>)</w:t>
      </w:r>
      <w:r w:rsidR="0035379F" w:rsidRPr="00C704D1">
        <w:rPr>
          <w:rFonts w:asciiTheme="minorHAnsi" w:hAnsiTheme="minorHAnsi" w:cstheme="minorHAnsi"/>
          <w:sz w:val="22"/>
          <w:szCs w:val="22"/>
          <w:u w:val="single"/>
        </w:rPr>
        <w:t xml:space="preserve"> semanas establecidas</w:t>
      </w:r>
      <w:r w:rsidR="0035379F">
        <w:rPr>
          <w:rFonts w:asciiTheme="minorHAnsi" w:hAnsiTheme="minorHAnsi" w:cstheme="minorHAnsi"/>
          <w:sz w:val="22"/>
          <w:szCs w:val="22"/>
        </w:rPr>
        <w:t xml:space="preserve"> y que durante la</w:t>
      </w:r>
      <w:r w:rsidR="001716D3">
        <w:rPr>
          <w:rFonts w:asciiTheme="minorHAnsi" w:hAnsiTheme="minorHAnsi" w:cstheme="minorHAnsi"/>
          <w:sz w:val="22"/>
          <w:szCs w:val="22"/>
        </w:rPr>
        <w:t xml:space="preserve"> ejecución</w:t>
      </w:r>
      <w:r w:rsidR="0035379F">
        <w:rPr>
          <w:rFonts w:asciiTheme="minorHAnsi" w:hAnsiTheme="minorHAnsi" w:cstheme="minorHAnsi"/>
          <w:sz w:val="22"/>
          <w:szCs w:val="22"/>
        </w:rPr>
        <w:t xml:space="preserve"> del contrato </w:t>
      </w:r>
      <w:r w:rsidR="0035379F" w:rsidRPr="00741056">
        <w:rPr>
          <w:rFonts w:asciiTheme="minorHAnsi" w:hAnsiTheme="minorHAnsi" w:cstheme="minorHAnsi"/>
          <w:sz w:val="22"/>
          <w:szCs w:val="22"/>
        </w:rPr>
        <w:t xml:space="preserve">corresponderán a </w:t>
      </w:r>
      <w:r w:rsidR="0035379F">
        <w:rPr>
          <w:rFonts w:asciiTheme="minorHAnsi" w:hAnsiTheme="minorHAnsi" w:cstheme="minorHAnsi"/>
          <w:sz w:val="22"/>
          <w:szCs w:val="22"/>
        </w:rPr>
        <w:t xml:space="preserve">los que a </w:t>
      </w:r>
      <w:r w:rsidR="0035379F" w:rsidRPr="00741056">
        <w:rPr>
          <w:rFonts w:asciiTheme="minorHAnsi" w:hAnsiTheme="minorHAnsi" w:cstheme="minorHAnsi"/>
          <w:sz w:val="22"/>
          <w:szCs w:val="22"/>
        </w:rPr>
        <w:t xml:space="preserve">continuación </w:t>
      </w:r>
      <w:r w:rsidR="0035379F">
        <w:rPr>
          <w:rFonts w:asciiTheme="minorHAnsi" w:hAnsiTheme="minorHAnsi" w:cstheme="minorHAnsi"/>
          <w:sz w:val="22"/>
          <w:szCs w:val="22"/>
        </w:rPr>
        <w:t>se indican</w:t>
      </w:r>
      <w:r>
        <w:rPr>
          <w:rFonts w:asciiTheme="minorHAnsi" w:hAnsiTheme="minorHAnsi" w:cstheme="minorHAnsi"/>
          <w:sz w:val="22"/>
          <w:szCs w:val="22"/>
        </w:rPr>
        <w:t>.</w:t>
      </w:r>
    </w:p>
    <w:tbl>
      <w:tblPr>
        <w:tblW w:w="7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51"/>
        <w:gridCol w:w="2976"/>
        <w:gridCol w:w="1560"/>
        <w:gridCol w:w="1560"/>
      </w:tblGrid>
      <w:tr w:rsidR="00C704D1" w:rsidRPr="00B73192" w14:paraId="44C124D4" w14:textId="77777777" w:rsidTr="00C704D1">
        <w:trPr>
          <w:trHeight w:val="550"/>
          <w:jc w:val="center"/>
        </w:trPr>
        <w:tc>
          <w:tcPr>
            <w:tcW w:w="1351" w:type="dxa"/>
            <w:shd w:val="clear" w:color="000000" w:fill="4F81BD"/>
            <w:noWrap/>
            <w:vAlign w:val="center"/>
            <w:hideMark/>
          </w:tcPr>
          <w:p w14:paraId="0D9ECBB5" w14:textId="77777777" w:rsidR="00C704D1" w:rsidRPr="00B73192" w:rsidRDefault="00C704D1" w:rsidP="00B73192">
            <w:pPr>
              <w:jc w:val="center"/>
              <w:rPr>
                <w:rFonts w:eastAsia="Times New Roman"/>
                <w:b/>
                <w:bCs/>
                <w:i/>
                <w:iCs/>
                <w:color w:val="FFFFFF"/>
              </w:rPr>
            </w:pPr>
            <w:r w:rsidRPr="00B73192">
              <w:rPr>
                <w:rFonts w:eastAsia="Times New Roman"/>
                <w:b/>
                <w:bCs/>
                <w:i/>
                <w:iCs/>
                <w:color w:val="FFFFFF"/>
              </w:rPr>
              <w:t>REF. INTERNA DE METRO</w:t>
            </w:r>
          </w:p>
        </w:tc>
        <w:tc>
          <w:tcPr>
            <w:tcW w:w="2976" w:type="dxa"/>
            <w:shd w:val="clear" w:color="000000" w:fill="4F81BD"/>
            <w:noWrap/>
            <w:vAlign w:val="center"/>
            <w:hideMark/>
          </w:tcPr>
          <w:p w14:paraId="1FF99441" w14:textId="77777777" w:rsidR="00C704D1" w:rsidRPr="00B73192" w:rsidRDefault="00C704D1" w:rsidP="00B73192">
            <w:pPr>
              <w:jc w:val="center"/>
              <w:rPr>
                <w:rFonts w:eastAsia="Times New Roman"/>
                <w:b/>
                <w:bCs/>
                <w:i/>
                <w:iCs/>
                <w:color w:val="FFFFFF"/>
              </w:rPr>
            </w:pPr>
            <w:r w:rsidRPr="00B73192">
              <w:rPr>
                <w:rFonts w:eastAsia="Times New Roman"/>
                <w:b/>
                <w:bCs/>
                <w:i/>
                <w:iCs/>
                <w:color w:val="FFFFFF"/>
              </w:rPr>
              <w:t>DESCRIPCIÓN DE MATERIAL</w:t>
            </w:r>
          </w:p>
        </w:tc>
        <w:tc>
          <w:tcPr>
            <w:tcW w:w="1560" w:type="dxa"/>
            <w:shd w:val="clear" w:color="000000" w:fill="4F81BD"/>
            <w:vAlign w:val="center"/>
            <w:hideMark/>
          </w:tcPr>
          <w:p w14:paraId="44B94F9D" w14:textId="77777777" w:rsidR="00C704D1" w:rsidRPr="00B73192" w:rsidRDefault="00C704D1" w:rsidP="00B73192">
            <w:pPr>
              <w:jc w:val="center"/>
              <w:rPr>
                <w:rFonts w:eastAsia="Times New Roman"/>
                <w:b/>
                <w:bCs/>
                <w:i/>
                <w:iCs/>
                <w:color w:val="FFFFFF"/>
              </w:rPr>
            </w:pPr>
            <w:r w:rsidRPr="00B73192">
              <w:rPr>
                <w:rFonts w:eastAsia="Times New Roman"/>
                <w:b/>
                <w:bCs/>
                <w:i/>
                <w:iCs/>
                <w:color w:val="FFFFFF"/>
              </w:rPr>
              <w:t xml:space="preserve">PLAZO DE SUMINISTRO </w:t>
            </w:r>
          </w:p>
          <w:p w14:paraId="14301740" w14:textId="79A4965C" w:rsidR="00C704D1" w:rsidRPr="00B73192" w:rsidRDefault="00C704D1" w:rsidP="00B73192">
            <w:pPr>
              <w:jc w:val="center"/>
              <w:rPr>
                <w:rFonts w:eastAsia="Times New Roman"/>
                <w:b/>
                <w:bCs/>
                <w:i/>
                <w:iCs/>
                <w:color w:val="FFFFFF"/>
              </w:rPr>
            </w:pPr>
            <w:r w:rsidRPr="00B73192">
              <w:rPr>
                <w:rFonts w:eastAsia="Times New Roman"/>
                <w:b/>
                <w:bCs/>
                <w:i/>
                <w:iCs/>
                <w:color w:val="FFFFFF"/>
              </w:rPr>
              <w:t>(</w:t>
            </w:r>
            <w:proofErr w:type="gramStart"/>
            <w:r w:rsidRPr="00B73192">
              <w:rPr>
                <w:rFonts w:eastAsia="Times New Roman"/>
                <w:b/>
                <w:bCs/>
                <w:i/>
                <w:iCs/>
                <w:color w:val="FFFFFF"/>
              </w:rPr>
              <w:t>Semanas)</w:t>
            </w:r>
            <w:r>
              <w:rPr>
                <w:rFonts w:eastAsia="Times New Roman"/>
                <w:b/>
                <w:bCs/>
                <w:i/>
                <w:iCs/>
                <w:color w:val="FFFFFF"/>
              </w:rPr>
              <w:t xml:space="preserve">  (</w:t>
            </w:r>
            <w:proofErr w:type="gramEnd"/>
            <w:r>
              <w:rPr>
                <w:rFonts w:eastAsia="Times New Roman"/>
                <w:b/>
                <w:bCs/>
                <w:i/>
                <w:iCs/>
                <w:color w:val="FFFFFF"/>
              </w:rPr>
              <w:t>*)</w:t>
            </w:r>
          </w:p>
        </w:tc>
        <w:tc>
          <w:tcPr>
            <w:tcW w:w="1560" w:type="dxa"/>
            <w:shd w:val="clear" w:color="000000" w:fill="4F81BD"/>
            <w:vAlign w:val="center"/>
          </w:tcPr>
          <w:p w14:paraId="13F8A43B" w14:textId="2A6567AD" w:rsidR="00C704D1" w:rsidRPr="00B73192" w:rsidRDefault="00C704D1" w:rsidP="00B73192">
            <w:pPr>
              <w:jc w:val="center"/>
              <w:rPr>
                <w:rFonts w:eastAsia="Times New Roman"/>
                <w:b/>
                <w:bCs/>
                <w:i/>
                <w:iCs/>
                <w:color w:val="FFFFFF"/>
              </w:rPr>
            </w:pPr>
            <w:r w:rsidRPr="00B73192">
              <w:rPr>
                <w:rFonts w:eastAsia="Times New Roman"/>
                <w:b/>
                <w:bCs/>
                <w:i/>
                <w:iCs/>
                <w:color w:val="FFFFFF"/>
              </w:rPr>
              <w:t>FABRICANTE</w:t>
            </w:r>
            <w:r>
              <w:rPr>
                <w:rFonts w:eastAsia="Times New Roman"/>
                <w:b/>
                <w:bCs/>
                <w:i/>
                <w:iCs/>
                <w:color w:val="FFFFFF"/>
              </w:rPr>
              <w:t xml:space="preserve"> (*)</w:t>
            </w:r>
          </w:p>
        </w:tc>
      </w:tr>
      <w:tr w:rsidR="00C704D1" w:rsidRPr="009A65B0" w14:paraId="024668F2" w14:textId="77777777" w:rsidTr="00C704D1">
        <w:trPr>
          <w:trHeight w:val="476"/>
          <w:jc w:val="center"/>
        </w:trPr>
        <w:tc>
          <w:tcPr>
            <w:tcW w:w="1351" w:type="dxa"/>
            <w:shd w:val="clear" w:color="000000" w:fill="DBE5F1"/>
            <w:vAlign w:val="center"/>
          </w:tcPr>
          <w:p w14:paraId="09D9842E" w14:textId="4FB7C2DC" w:rsidR="00C704D1" w:rsidRPr="0074512E" w:rsidRDefault="00C704D1" w:rsidP="00613247">
            <w:pPr>
              <w:spacing w:line="240" w:lineRule="auto"/>
              <w:jc w:val="center"/>
              <w:rPr>
                <w:rFonts w:asciiTheme="minorHAnsi" w:eastAsia="Times New Roman" w:hAnsiTheme="minorHAnsi" w:cstheme="minorHAnsi"/>
              </w:rPr>
            </w:pPr>
            <w:r w:rsidRPr="00C704D1">
              <w:t>14242</w:t>
            </w:r>
          </w:p>
        </w:tc>
        <w:tc>
          <w:tcPr>
            <w:tcW w:w="2976" w:type="dxa"/>
            <w:shd w:val="clear" w:color="000000" w:fill="DBE5F1"/>
            <w:noWrap/>
            <w:vAlign w:val="center"/>
          </w:tcPr>
          <w:p w14:paraId="78B09E2B" w14:textId="064AB1F4" w:rsidR="00C704D1" w:rsidRPr="0074512E" w:rsidRDefault="00C704D1" w:rsidP="00613247">
            <w:pPr>
              <w:spacing w:line="240" w:lineRule="auto"/>
              <w:jc w:val="center"/>
              <w:rPr>
                <w:rFonts w:asciiTheme="minorHAnsi" w:eastAsia="Times New Roman" w:hAnsiTheme="minorHAnsi" w:cstheme="minorHAnsi"/>
              </w:rPr>
            </w:pPr>
            <w:r w:rsidRPr="00C704D1">
              <w:rPr>
                <w:rFonts w:asciiTheme="minorHAnsi" w:eastAsia="Times New Roman" w:hAnsiTheme="minorHAnsi" w:cstheme="minorHAnsi"/>
              </w:rPr>
              <w:t xml:space="preserve">TRANSFORMADOR SSAA 500 </w:t>
            </w:r>
            <w:proofErr w:type="spellStart"/>
            <w:r w:rsidRPr="00C704D1">
              <w:rPr>
                <w:rFonts w:asciiTheme="minorHAnsi" w:eastAsia="Times New Roman" w:hAnsiTheme="minorHAnsi" w:cstheme="minorHAnsi"/>
              </w:rPr>
              <w:t>kVA</w:t>
            </w:r>
            <w:proofErr w:type="spellEnd"/>
          </w:p>
        </w:tc>
        <w:tc>
          <w:tcPr>
            <w:tcW w:w="1560" w:type="dxa"/>
            <w:shd w:val="clear" w:color="auto" w:fill="auto"/>
            <w:vAlign w:val="center"/>
            <w:hideMark/>
          </w:tcPr>
          <w:p w14:paraId="2AB0C013" w14:textId="77777777" w:rsidR="00C704D1" w:rsidRPr="009A65B0" w:rsidRDefault="00C704D1" w:rsidP="00613247">
            <w:pPr>
              <w:spacing w:line="240" w:lineRule="auto"/>
              <w:jc w:val="center"/>
              <w:rPr>
                <w:rFonts w:eastAsia="Times New Roman"/>
                <w:color w:val="000000"/>
                <w:sz w:val="18"/>
                <w:szCs w:val="18"/>
              </w:rPr>
            </w:pPr>
          </w:p>
        </w:tc>
        <w:tc>
          <w:tcPr>
            <w:tcW w:w="1560" w:type="dxa"/>
            <w:vAlign w:val="center"/>
          </w:tcPr>
          <w:p w14:paraId="59C55478" w14:textId="77777777" w:rsidR="00C704D1" w:rsidRPr="009A65B0" w:rsidRDefault="00C704D1" w:rsidP="00613247">
            <w:pPr>
              <w:spacing w:line="240" w:lineRule="auto"/>
              <w:jc w:val="center"/>
              <w:rPr>
                <w:rFonts w:eastAsia="Times New Roman"/>
                <w:color w:val="000000"/>
                <w:sz w:val="18"/>
                <w:szCs w:val="18"/>
              </w:rPr>
            </w:pPr>
          </w:p>
        </w:tc>
      </w:tr>
    </w:tbl>
    <w:p w14:paraId="09FAC858" w14:textId="77777777" w:rsidR="00613247" w:rsidRDefault="00613247" w:rsidP="00613247">
      <w:pPr>
        <w:pStyle w:val="Textosinformato"/>
        <w:spacing w:after="120" w:line="312" w:lineRule="auto"/>
        <w:ind w:left="357"/>
        <w:jc w:val="both"/>
        <w:rPr>
          <w:rFonts w:asciiTheme="minorHAnsi" w:hAnsiTheme="minorHAnsi" w:cstheme="minorHAnsi"/>
          <w:i/>
          <w:sz w:val="16"/>
          <w:szCs w:val="16"/>
        </w:rPr>
      </w:pPr>
    </w:p>
    <w:p w14:paraId="74E48AFE" w14:textId="1359F793" w:rsidR="00613247" w:rsidRDefault="00613247" w:rsidP="00613247">
      <w:pPr>
        <w:pStyle w:val="Textosinformato"/>
        <w:spacing w:after="120" w:line="312" w:lineRule="auto"/>
        <w:ind w:left="720"/>
        <w:jc w:val="both"/>
        <w:rPr>
          <w:rFonts w:asciiTheme="minorHAnsi" w:hAnsiTheme="minorHAnsi" w:cstheme="minorHAnsi"/>
          <w:i/>
          <w:sz w:val="16"/>
          <w:szCs w:val="16"/>
          <w:u w:val="single"/>
        </w:rPr>
      </w:pPr>
      <w:r>
        <w:rPr>
          <w:rFonts w:asciiTheme="minorHAnsi" w:hAnsiTheme="minorHAnsi" w:cstheme="minorHAnsi"/>
          <w:i/>
          <w:sz w:val="16"/>
          <w:szCs w:val="16"/>
        </w:rPr>
        <w:t>-</w:t>
      </w:r>
      <w:r w:rsidR="00C704D1" w:rsidRPr="00C704D1">
        <w:rPr>
          <w:rFonts w:asciiTheme="minorHAnsi" w:hAnsiTheme="minorHAnsi" w:cstheme="minorHAnsi"/>
          <w:i/>
          <w:sz w:val="16"/>
          <w:szCs w:val="16"/>
        </w:rPr>
        <w:t xml:space="preserve"> (*)</w:t>
      </w:r>
      <w:r w:rsidR="00C704D1">
        <w:rPr>
          <w:rFonts w:asciiTheme="minorHAnsi" w:hAnsiTheme="minorHAnsi" w:cstheme="minorHAnsi"/>
          <w:i/>
          <w:sz w:val="16"/>
          <w:szCs w:val="16"/>
        </w:rPr>
        <w:t xml:space="preserve"> </w:t>
      </w:r>
      <w:r w:rsidRPr="00C704D1">
        <w:rPr>
          <w:rFonts w:asciiTheme="minorHAnsi" w:hAnsiTheme="minorHAnsi" w:cstheme="minorHAnsi"/>
          <w:i/>
          <w:sz w:val="16"/>
          <w:szCs w:val="16"/>
          <w:u w:val="single"/>
        </w:rPr>
        <w:t>Se deberán cumplimentar las columnas habilitadas para tal efecto, tanto el plazo de suministro como el fabricant</w:t>
      </w:r>
      <w:r w:rsidR="00830D3D" w:rsidRPr="00C704D1">
        <w:rPr>
          <w:rFonts w:asciiTheme="minorHAnsi" w:hAnsiTheme="minorHAnsi" w:cstheme="minorHAnsi"/>
          <w:i/>
          <w:sz w:val="16"/>
          <w:szCs w:val="16"/>
          <w:u w:val="single"/>
        </w:rPr>
        <w:t>e</w:t>
      </w:r>
      <w:r w:rsidRPr="00C704D1">
        <w:rPr>
          <w:rFonts w:asciiTheme="minorHAnsi" w:hAnsiTheme="minorHAnsi" w:cstheme="minorHAnsi"/>
          <w:i/>
          <w:sz w:val="16"/>
          <w:szCs w:val="16"/>
          <w:u w:val="single"/>
        </w:rPr>
        <w:t>.</w:t>
      </w:r>
    </w:p>
    <w:p w14:paraId="49CCB926" w14:textId="7627F8B6" w:rsidR="00C704D1" w:rsidRPr="00613247" w:rsidRDefault="00C704D1" w:rsidP="00613247">
      <w:pPr>
        <w:pStyle w:val="Textosinformato"/>
        <w:spacing w:after="120" w:line="312" w:lineRule="auto"/>
        <w:ind w:left="720"/>
        <w:jc w:val="both"/>
        <w:rPr>
          <w:rFonts w:asciiTheme="minorHAnsi" w:hAnsiTheme="minorHAnsi" w:cstheme="minorHAnsi"/>
          <w:i/>
          <w:sz w:val="16"/>
          <w:szCs w:val="16"/>
        </w:rPr>
      </w:pPr>
      <w:r>
        <w:rPr>
          <w:rFonts w:asciiTheme="minorHAnsi" w:hAnsiTheme="minorHAnsi" w:cstheme="minorHAnsi"/>
          <w:i/>
          <w:sz w:val="16"/>
          <w:szCs w:val="16"/>
        </w:rPr>
        <w:t>-</w:t>
      </w:r>
      <w:r w:rsidRPr="00C704D1">
        <w:rPr>
          <w:rFonts w:asciiTheme="minorHAnsi" w:hAnsiTheme="minorHAnsi" w:cstheme="minorHAnsi"/>
          <w:i/>
          <w:sz w:val="16"/>
          <w:szCs w:val="16"/>
        </w:rPr>
        <w:t>Dentro del plazo de entrega no se considerará la primera semana del año, cuatro semanas del mes de agosto y la última semana del año</w:t>
      </w:r>
    </w:p>
    <w:p w14:paraId="7EB526DC" w14:textId="7B8BD1D8" w:rsidR="009A65B0" w:rsidRDefault="00613247" w:rsidP="00613247">
      <w:pPr>
        <w:pStyle w:val="Textosinformato"/>
        <w:spacing w:after="120" w:line="312" w:lineRule="auto"/>
        <w:ind w:left="720"/>
        <w:jc w:val="both"/>
        <w:rPr>
          <w:rFonts w:asciiTheme="minorHAnsi" w:hAnsiTheme="minorHAnsi" w:cstheme="minorHAnsi"/>
          <w:i/>
          <w:sz w:val="16"/>
          <w:szCs w:val="16"/>
        </w:rPr>
      </w:pPr>
      <w:r>
        <w:rPr>
          <w:rFonts w:asciiTheme="minorHAnsi" w:hAnsiTheme="minorHAnsi" w:cstheme="minorHAnsi"/>
          <w:i/>
          <w:sz w:val="16"/>
          <w:szCs w:val="16"/>
        </w:rPr>
        <w:t>-</w:t>
      </w:r>
      <w:r w:rsidRPr="00613247">
        <w:rPr>
          <w:rFonts w:asciiTheme="minorHAnsi" w:hAnsiTheme="minorHAnsi" w:cstheme="minorHAnsi"/>
          <w:i/>
          <w:sz w:val="16"/>
          <w:szCs w:val="16"/>
        </w:rPr>
        <w:t>Para cada tipo de transformador únicamente se aceptará un fabricante, es decir, no se aceptarán ofertas con varias alternativas para un mismo tipo</w:t>
      </w:r>
      <w:r w:rsidR="00830D3D">
        <w:rPr>
          <w:rFonts w:asciiTheme="minorHAnsi" w:hAnsiTheme="minorHAnsi" w:cstheme="minorHAnsi"/>
          <w:i/>
          <w:sz w:val="16"/>
          <w:szCs w:val="16"/>
        </w:rPr>
        <w:t xml:space="preserve"> o referencia </w:t>
      </w:r>
      <w:r w:rsidRPr="00613247">
        <w:rPr>
          <w:rFonts w:asciiTheme="minorHAnsi" w:hAnsiTheme="minorHAnsi" w:cstheme="minorHAnsi"/>
          <w:i/>
          <w:sz w:val="16"/>
          <w:szCs w:val="16"/>
        </w:rPr>
        <w:t>de transformador.</w:t>
      </w:r>
    </w:p>
    <w:p w14:paraId="06A0B80B" w14:textId="77777777" w:rsidR="00613247" w:rsidRPr="00613247" w:rsidRDefault="00613247" w:rsidP="00613247">
      <w:pPr>
        <w:pStyle w:val="Textosinformato"/>
        <w:spacing w:after="120" w:line="312" w:lineRule="auto"/>
        <w:ind w:left="720"/>
        <w:jc w:val="both"/>
        <w:rPr>
          <w:rFonts w:asciiTheme="minorHAnsi" w:hAnsiTheme="minorHAnsi" w:cstheme="minorHAnsi"/>
          <w:i/>
          <w:sz w:val="16"/>
          <w:szCs w:val="16"/>
        </w:rPr>
      </w:pPr>
    </w:p>
    <w:p w14:paraId="5EC123AF" w14:textId="77777777" w:rsidR="00B73192" w:rsidRPr="00C704D1" w:rsidRDefault="00B73192" w:rsidP="0012677D">
      <w:pPr>
        <w:pStyle w:val="Textosinformato"/>
        <w:keepNext/>
        <w:widowControl w:val="0"/>
        <w:numPr>
          <w:ilvl w:val="0"/>
          <w:numId w:val="8"/>
        </w:numPr>
        <w:spacing w:after="120" w:line="312" w:lineRule="auto"/>
        <w:ind w:left="714" w:hanging="357"/>
        <w:jc w:val="both"/>
        <w:rPr>
          <w:rFonts w:asciiTheme="minorHAnsi" w:hAnsiTheme="minorHAnsi" w:cstheme="minorHAnsi"/>
          <w:i/>
          <w:sz w:val="22"/>
          <w:szCs w:val="22"/>
        </w:rPr>
      </w:pPr>
      <w:r w:rsidRPr="00A810C5">
        <w:rPr>
          <w:rFonts w:asciiTheme="minorHAnsi" w:hAnsiTheme="minorHAnsi" w:cstheme="minorHAnsi"/>
          <w:sz w:val="22"/>
          <w:szCs w:val="22"/>
        </w:rPr>
        <w:t xml:space="preserve">El licitante en caso de ser adjudicatario se compromete a la fabricación de los </w:t>
      </w:r>
      <w:r w:rsidR="00A810C5" w:rsidRPr="00A810C5">
        <w:rPr>
          <w:rFonts w:asciiTheme="minorHAnsi" w:hAnsiTheme="minorHAnsi" w:cstheme="minorHAnsi"/>
          <w:sz w:val="22"/>
          <w:szCs w:val="22"/>
        </w:rPr>
        <w:t>transformadores</w:t>
      </w:r>
      <w:r w:rsidRPr="00A810C5">
        <w:rPr>
          <w:rFonts w:asciiTheme="minorHAnsi" w:hAnsiTheme="minorHAnsi" w:cstheme="minorHAnsi"/>
          <w:sz w:val="22"/>
          <w:szCs w:val="22"/>
        </w:rPr>
        <w:t xml:space="preserve"> según los requerimientos solicitados en la documentación técnica que rige la licitación (PPT, Especificaciones técnicas, etc.) no siendo posible modificación alguna, sin previa autorización del Servicio de Compras de Metro de Madrid</w:t>
      </w:r>
      <w:r w:rsidR="00A810C5" w:rsidRPr="00A810C5">
        <w:rPr>
          <w:rFonts w:asciiTheme="minorHAnsi" w:hAnsiTheme="minorHAnsi" w:cstheme="minorHAnsi"/>
          <w:sz w:val="22"/>
          <w:szCs w:val="22"/>
        </w:rPr>
        <w:t>:</w:t>
      </w:r>
    </w:p>
    <w:tbl>
      <w:tblPr>
        <w:tblStyle w:val="Listaclara-nfasis1"/>
        <w:tblW w:w="8559" w:type="dxa"/>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762"/>
        <w:gridCol w:w="6797"/>
      </w:tblGrid>
      <w:tr w:rsidR="00C704D1" w:rsidRPr="0074512E" w14:paraId="0DFCC7DD" w14:textId="77777777" w:rsidTr="00AB3BE3">
        <w:trPr>
          <w:cnfStyle w:val="100000000000" w:firstRow="1" w:lastRow="0" w:firstColumn="0" w:lastColumn="0" w:oddVBand="0" w:evenVBand="0" w:oddHBand="0" w:evenHBand="0" w:firstRowFirstColumn="0" w:firstRowLastColumn="0" w:lastRowFirstColumn="0" w:lastRowLastColumn="0"/>
          <w:trHeight w:val="194"/>
          <w:jc w:val="center"/>
        </w:trPr>
        <w:tc>
          <w:tcPr>
            <w:cnfStyle w:val="001000000000" w:firstRow="0" w:lastRow="0" w:firstColumn="1" w:lastColumn="0" w:oddVBand="0" w:evenVBand="0" w:oddHBand="0" w:evenHBand="0" w:firstRowFirstColumn="0" w:firstRowLastColumn="0" w:lastRowFirstColumn="0" w:lastRowLastColumn="0"/>
            <w:tcW w:w="1762" w:type="dxa"/>
            <w:tcBorders>
              <w:top w:val="nil"/>
              <w:left w:val="nil"/>
              <w:bottom w:val="single" w:sz="8" w:space="0" w:color="4F81BD" w:themeColor="accent1"/>
              <w:right w:val="single" w:sz="8" w:space="0" w:color="4F81BD" w:themeColor="accent1"/>
            </w:tcBorders>
            <w:shd w:val="clear" w:color="auto" w:fill="FFFFFF" w:themeFill="background1"/>
            <w:noWrap/>
            <w:vAlign w:val="center"/>
          </w:tcPr>
          <w:p w14:paraId="09A9FA23" w14:textId="77777777" w:rsidR="00C704D1" w:rsidRPr="0074512E" w:rsidRDefault="00C704D1" w:rsidP="00AB3BE3">
            <w:pPr>
              <w:spacing w:line="240" w:lineRule="auto"/>
              <w:jc w:val="center"/>
              <w:rPr>
                <w:rFonts w:cs="Calibri"/>
                <w:b w:val="0"/>
                <w:bCs w:val="0"/>
                <w:color w:val="000000"/>
              </w:rPr>
            </w:pPr>
          </w:p>
        </w:tc>
        <w:tc>
          <w:tcPr>
            <w:tcW w:w="6797"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548DD4" w:themeFill="text2" w:themeFillTint="99"/>
            <w:vAlign w:val="center"/>
          </w:tcPr>
          <w:p w14:paraId="58EDBDAC" w14:textId="77777777" w:rsidR="00C704D1" w:rsidRDefault="00C704D1" w:rsidP="00AB3BE3">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bCs w:val="0"/>
              </w:rPr>
            </w:pPr>
            <w:r w:rsidRPr="0074512E">
              <w:rPr>
                <w:rFonts w:eastAsia="Times New Roman"/>
                <w:i/>
                <w:iCs/>
                <w:color w:val="FFFFFF"/>
              </w:rPr>
              <w:t>Ref. interna</w:t>
            </w:r>
            <w:r w:rsidRPr="0074512E">
              <w:rPr>
                <w:rFonts w:asciiTheme="minorHAnsi" w:eastAsia="Times New Roman" w:hAnsiTheme="minorHAnsi" w:cstheme="minorHAnsi"/>
              </w:rPr>
              <w:t xml:space="preserve"> </w:t>
            </w:r>
            <w:bookmarkStart w:id="1" w:name="_Hlk178884197"/>
            <w:r>
              <w:rPr>
                <w:rFonts w:asciiTheme="minorHAnsi" w:eastAsia="Times New Roman" w:hAnsiTheme="minorHAnsi" w:cstheme="minorHAnsi"/>
              </w:rPr>
              <w:t>14242</w:t>
            </w:r>
            <w:bookmarkEnd w:id="1"/>
          </w:p>
          <w:p w14:paraId="339248BA" w14:textId="77777777" w:rsidR="00C704D1" w:rsidRPr="0074512E" w:rsidRDefault="00C704D1" w:rsidP="00AB3BE3">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i/>
                <w:iCs/>
                <w:color w:val="FFFFFF"/>
              </w:rPr>
            </w:pPr>
            <w:r>
              <w:rPr>
                <w:rFonts w:asciiTheme="minorHAnsi" w:eastAsia="Times New Roman" w:hAnsiTheme="minorHAnsi" w:cstheme="minorHAnsi"/>
              </w:rPr>
              <w:t>“</w:t>
            </w:r>
            <w:r w:rsidRPr="00DA630E">
              <w:rPr>
                <w:rFonts w:asciiTheme="minorHAnsi" w:eastAsia="Times New Roman" w:hAnsiTheme="minorHAnsi" w:cstheme="minorHAnsi"/>
              </w:rPr>
              <w:t xml:space="preserve">TRANSFORMADOR SSAA </w:t>
            </w:r>
            <w:r>
              <w:rPr>
                <w:rFonts w:asciiTheme="minorHAnsi" w:eastAsia="Times New Roman" w:hAnsiTheme="minorHAnsi" w:cstheme="minorHAnsi"/>
              </w:rPr>
              <w:t>5</w:t>
            </w:r>
            <w:r w:rsidRPr="00DA630E">
              <w:rPr>
                <w:rFonts w:asciiTheme="minorHAnsi" w:eastAsia="Times New Roman" w:hAnsiTheme="minorHAnsi" w:cstheme="minorHAnsi"/>
              </w:rPr>
              <w:t xml:space="preserve">00 </w:t>
            </w:r>
            <w:proofErr w:type="spellStart"/>
            <w:r w:rsidRPr="00DA630E">
              <w:rPr>
                <w:rFonts w:asciiTheme="minorHAnsi" w:eastAsia="Times New Roman" w:hAnsiTheme="minorHAnsi" w:cstheme="minorHAnsi"/>
              </w:rPr>
              <w:t>kVA</w:t>
            </w:r>
            <w:proofErr w:type="spellEnd"/>
            <w:r>
              <w:rPr>
                <w:rFonts w:asciiTheme="minorHAnsi" w:eastAsia="Times New Roman" w:hAnsiTheme="minorHAnsi" w:cstheme="minorHAnsi"/>
              </w:rPr>
              <w:t>”</w:t>
            </w:r>
          </w:p>
        </w:tc>
      </w:tr>
      <w:tr w:rsidR="00C704D1" w:rsidRPr="00D01C93" w14:paraId="2FDAB398"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358C16EB" w14:textId="77777777" w:rsidR="00C704D1" w:rsidRDefault="00C704D1" w:rsidP="00AB3BE3">
            <w:pPr>
              <w:spacing w:line="240" w:lineRule="auto"/>
              <w:jc w:val="center"/>
              <w:rPr>
                <w:rFonts w:cs="Calibri"/>
                <w:b w:val="0"/>
                <w:bCs w:val="0"/>
                <w:color w:val="000000"/>
              </w:rPr>
            </w:pPr>
            <w:r>
              <w:rPr>
                <w:rFonts w:cs="Calibri"/>
                <w:b w:val="0"/>
                <w:bCs w:val="0"/>
                <w:color w:val="000000"/>
              </w:rPr>
              <w:t>POTENCIA NOMINAL</w:t>
            </w:r>
          </w:p>
          <w:p w14:paraId="5A580099" w14:textId="77777777" w:rsidR="00C704D1" w:rsidRPr="00D01C93" w:rsidRDefault="00C704D1" w:rsidP="00AB3BE3">
            <w:pPr>
              <w:spacing w:line="240" w:lineRule="auto"/>
              <w:jc w:val="center"/>
              <w:rPr>
                <w:rFonts w:cs="Calibri"/>
                <w:b w:val="0"/>
                <w:color w:val="000000"/>
              </w:rPr>
            </w:pPr>
            <w:r>
              <w:rPr>
                <w:rFonts w:cs="Calibri"/>
                <w:b w:val="0"/>
                <w:bCs w:val="0"/>
                <w:color w:val="000000"/>
              </w:rPr>
              <w:t>(EN TODAS LAS TOMAS)</w:t>
            </w:r>
          </w:p>
        </w:tc>
        <w:tc>
          <w:tcPr>
            <w:tcW w:w="6797" w:type="dxa"/>
            <w:shd w:val="clear" w:color="auto" w:fill="DBE5F1" w:themeFill="accent1" w:themeFillTint="33"/>
            <w:vAlign w:val="center"/>
          </w:tcPr>
          <w:p w14:paraId="7D1BD581"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b/>
                <w:color w:val="000000"/>
              </w:rPr>
            </w:pPr>
            <w:r w:rsidRPr="000024C7">
              <w:rPr>
                <w:rFonts w:cs="Calibri"/>
                <w:b/>
                <w:color w:val="000000"/>
              </w:rPr>
              <w:t xml:space="preserve">500 </w:t>
            </w:r>
            <w:proofErr w:type="spellStart"/>
            <w:r w:rsidRPr="000024C7">
              <w:rPr>
                <w:rFonts w:cs="Calibri"/>
                <w:b/>
                <w:color w:val="000000"/>
              </w:rPr>
              <w:t>kVA</w:t>
            </w:r>
            <w:proofErr w:type="spellEnd"/>
            <w:r w:rsidRPr="000024C7">
              <w:rPr>
                <w:rFonts w:cs="Calibri"/>
                <w:b/>
                <w:color w:val="000000"/>
              </w:rPr>
              <w:t>.</w:t>
            </w:r>
          </w:p>
        </w:tc>
      </w:tr>
      <w:tr w:rsidR="00C704D1" w:rsidRPr="00D01C93" w14:paraId="39831451" w14:textId="77777777" w:rsidTr="00C704D1">
        <w:trPr>
          <w:trHeight w:val="1329"/>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7428A043" w14:textId="77777777" w:rsidR="00C704D1" w:rsidRPr="00D01C93" w:rsidRDefault="00C704D1" w:rsidP="00AB3BE3">
            <w:pPr>
              <w:spacing w:line="240" w:lineRule="auto"/>
              <w:jc w:val="center"/>
              <w:rPr>
                <w:rFonts w:cs="Calibri"/>
                <w:b w:val="0"/>
                <w:color w:val="000000"/>
              </w:rPr>
            </w:pPr>
            <w:proofErr w:type="gramStart"/>
            <w:r w:rsidRPr="00D01C93">
              <w:rPr>
                <w:rFonts w:cs="Calibri"/>
                <w:b w:val="0"/>
                <w:color w:val="000000"/>
              </w:rPr>
              <w:t>ESPECIFICACIÓN A CUMPLIR</w:t>
            </w:r>
            <w:proofErr w:type="gramEnd"/>
          </w:p>
        </w:tc>
        <w:tc>
          <w:tcPr>
            <w:tcW w:w="6797" w:type="dxa"/>
            <w:shd w:val="clear" w:color="auto" w:fill="DBE5F1" w:themeFill="accent1" w:themeFillTint="33"/>
            <w:vAlign w:val="center"/>
          </w:tcPr>
          <w:p w14:paraId="55992692" w14:textId="77777777" w:rsidR="00C704D1" w:rsidRPr="000024C7" w:rsidRDefault="00C704D1" w:rsidP="00AB3BE3">
            <w:p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UNE-EN 60076-1:2013 - Transformadores de potencia. Parte 1: Generalidades.</w:t>
            </w:r>
          </w:p>
          <w:p w14:paraId="6F698F2B" w14:textId="77777777" w:rsidR="00C704D1" w:rsidRPr="000024C7" w:rsidRDefault="00C704D1" w:rsidP="00AB3BE3">
            <w:p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UNE-EN IEC 60076-11:2021 Transformadores de potencia. Parte 11: Transformadores de tipo seco.</w:t>
            </w:r>
          </w:p>
          <w:p w14:paraId="3FA6668C" w14:textId="77777777" w:rsidR="00C704D1" w:rsidRPr="000024C7" w:rsidRDefault="00C704D1" w:rsidP="00AB3BE3">
            <w:p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UNE 21538-1:2023 Transformadores trifásicos de distribución tipo seco 50Hz.</w:t>
            </w:r>
          </w:p>
          <w:p w14:paraId="6DB8E17F" w14:textId="77777777" w:rsidR="00C704D1" w:rsidRPr="000024C7" w:rsidRDefault="00C704D1" w:rsidP="00AB3BE3">
            <w:p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Reglamento (UE) 2024/1781</w:t>
            </w:r>
          </w:p>
          <w:p w14:paraId="68AFC0C4" w14:textId="77777777" w:rsidR="00C704D1" w:rsidRPr="000024C7" w:rsidRDefault="00C704D1" w:rsidP="00AB3BE3">
            <w:p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REGLAMENTO (UE) Nº 548/2014</w:t>
            </w:r>
          </w:p>
        </w:tc>
      </w:tr>
      <w:tr w:rsidR="00C704D1" w:rsidRPr="0074512E" w14:paraId="40DFBAB2"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hideMark/>
          </w:tcPr>
          <w:p w14:paraId="74AF3D97" w14:textId="77777777" w:rsidR="00C704D1" w:rsidRPr="0074512E" w:rsidRDefault="00C704D1" w:rsidP="00AB3BE3">
            <w:pPr>
              <w:spacing w:line="240" w:lineRule="auto"/>
              <w:jc w:val="center"/>
              <w:rPr>
                <w:rFonts w:asciiTheme="minorHAnsi" w:eastAsia="Times New Roman" w:hAnsiTheme="minorHAnsi" w:cstheme="minorHAnsi"/>
              </w:rPr>
            </w:pPr>
            <w:r>
              <w:rPr>
                <w:rFonts w:cs="Calibri"/>
                <w:b w:val="0"/>
                <w:bCs w:val="0"/>
                <w:color w:val="000000"/>
              </w:rPr>
              <w:t>TIPO DE TRANSFORMADOR</w:t>
            </w:r>
          </w:p>
        </w:tc>
        <w:tc>
          <w:tcPr>
            <w:tcW w:w="6797" w:type="dxa"/>
            <w:shd w:val="clear" w:color="auto" w:fill="DBE5F1" w:themeFill="accent1" w:themeFillTint="33"/>
            <w:vAlign w:val="center"/>
          </w:tcPr>
          <w:p w14:paraId="01DAC5B7"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Tipo seco, encapsulado en resina Epoxi según UNE 21358</w:t>
            </w:r>
          </w:p>
        </w:tc>
      </w:tr>
      <w:tr w:rsidR="00C704D1" w:rsidRPr="0074512E" w14:paraId="665EDBE8"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620A27DD" w14:textId="77777777" w:rsidR="00C704D1" w:rsidRDefault="00C704D1" w:rsidP="00AB3BE3">
            <w:pPr>
              <w:spacing w:line="240" w:lineRule="auto"/>
              <w:jc w:val="center"/>
              <w:rPr>
                <w:rFonts w:cs="Calibri"/>
                <w:b w:val="0"/>
                <w:bCs w:val="0"/>
                <w:color w:val="000000"/>
              </w:rPr>
            </w:pPr>
            <w:r>
              <w:rPr>
                <w:rFonts w:cs="Calibri"/>
                <w:b w:val="0"/>
                <w:bCs w:val="0"/>
                <w:color w:val="000000"/>
              </w:rPr>
              <w:t>MEDIDAS ORIENTATIVAS</w:t>
            </w:r>
          </w:p>
        </w:tc>
        <w:tc>
          <w:tcPr>
            <w:tcW w:w="6797" w:type="dxa"/>
            <w:shd w:val="clear" w:color="auto" w:fill="DBE5F1" w:themeFill="accent1" w:themeFillTint="33"/>
            <w:vAlign w:val="center"/>
          </w:tcPr>
          <w:p w14:paraId="3AA83B07"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Largo: 1.550 mm</w:t>
            </w:r>
          </w:p>
          <w:p w14:paraId="62ED4B0A"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Alto: 1.700 mm</w:t>
            </w:r>
          </w:p>
          <w:p w14:paraId="4464B41F"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Ancho: 860 mm</w:t>
            </w:r>
          </w:p>
        </w:tc>
      </w:tr>
      <w:tr w:rsidR="00C704D1" w:rsidRPr="0074512E" w14:paraId="2143E7A5"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60273A88" w14:textId="77777777" w:rsidR="00C704D1" w:rsidRDefault="00C704D1" w:rsidP="00AB3BE3">
            <w:pPr>
              <w:spacing w:line="240" w:lineRule="auto"/>
              <w:jc w:val="center"/>
              <w:rPr>
                <w:rFonts w:cs="Calibri"/>
                <w:color w:val="000000"/>
              </w:rPr>
            </w:pPr>
            <w:r w:rsidRPr="002C2540">
              <w:rPr>
                <w:rFonts w:cs="Calibri"/>
                <w:b w:val="0"/>
                <w:bCs w:val="0"/>
                <w:color w:val="000000"/>
              </w:rPr>
              <w:t>DISTANCIA</w:t>
            </w:r>
            <w:r>
              <w:rPr>
                <w:rFonts w:cs="Calibri"/>
                <w:b w:val="0"/>
                <w:bCs w:val="0"/>
                <w:color w:val="000000"/>
              </w:rPr>
              <w:t xml:space="preserve"> AL SUELO</w:t>
            </w:r>
          </w:p>
        </w:tc>
        <w:tc>
          <w:tcPr>
            <w:tcW w:w="6797" w:type="dxa"/>
            <w:shd w:val="clear" w:color="auto" w:fill="DBE5F1" w:themeFill="accent1" w:themeFillTint="33"/>
            <w:vAlign w:val="center"/>
          </w:tcPr>
          <w:p w14:paraId="5BFD58C8"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 100 mm desde el suelo hasta la base del trasformador, una vez acopladas las ruedas</w:t>
            </w:r>
          </w:p>
        </w:tc>
      </w:tr>
      <w:tr w:rsidR="00C704D1" w:rsidRPr="0074512E" w14:paraId="505646F5"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hideMark/>
          </w:tcPr>
          <w:p w14:paraId="451A6980" w14:textId="77777777" w:rsidR="00C704D1" w:rsidRPr="0074512E" w:rsidRDefault="00C704D1" w:rsidP="00AB3BE3">
            <w:pPr>
              <w:spacing w:line="240" w:lineRule="auto"/>
              <w:jc w:val="center"/>
              <w:rPr>
                <w:rFonts w:asciiTheme="minorHAnsi" w:eastAsia="Times New Roman" w:hAnsiTheme="minorHAnsi" w:cstheme="minorHAnsi"/>
              </w:rPr>
            </w:pPr>
            <w:r>
              <w:rPr>
                <w:rFonts w:cs="Calibri"/>
                <w:b w:val="0"/>
                <w:bCs w:val="0"/>
                <w:color w:val="000000"/>
              </w:rPr>
              <w:t>UNIDAD</w:t>
            </w:r>
          </w:p>
        </w:tc>
        <w:tc>
          <w:tcPr>
            <w:tcW w:w="6797" w:type="dxa"/>
            <w:shd w:val="clear" w:color="auto" w:fill="DBE5F1" w:themeFill="accent1" w:themeFillTint="33"/>
            <w:vAlign w:val="center"/>
          </w:tcPr>
          <w:p w14:paraId="214E350F"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Trifásica</w:t>
            </w:r>
          </w:p>
        </w:tc>
      </w:tr>
      <w:tr w:rsidR="00C704D1" w:rsidRPr="0074512E" w14:paraId="6E7BFABB"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18ECFBEC" w14:textId="77777777" w:rsidR="00C704D1" w:rsidRPr="0074512E" w:rsidRDefault="00C704D1" w:rsidP="00AB3BE3">
            <w:pPr>
              <w:spacing w:line="240" w:lineRule="auto"/>
              <w:jc w:val="center"/>
              <w:rPr>
                <w:rFonts w:asciiTheme="minorHAnsi" w:eastAsia="Times New Roman" w:hAnsiTheme="minorHAnsi" w:cstheme="minorHAnsi"/>
              </w:rPr>
            </w:pPr>
            <w:r>
              <w:rPr>
                <w:rFonts w:cs="Calibri"/>
                <w:b w:val="0"/>
                <w:bCs w:val="0"/>
                <w:color w:val="000000"/>
              </w:rPr>
              <w:t>NÚMERO DE FASES</w:t>
            </w:r>
          </w:p>
        </w:tc>
        <w:tc>
          <w:tcPr>
            <w:tcW w:w="6797" w:type="dxa"/>
            <w:shd w:val="clear" w:color="auto" w:fill="DBE5F1" w:themeFill="accent1" w:themeFillTint="33"/>
            <w:vAlign w:val="center"/>
          </w:tcPr>
          <w:p w14:paraId="56895B2F"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3</w:t>
            </w:r>
          </w:p>
        </w:tc>
      </w:tr>
      <w:tr w:rsidR="00C704D1" w:rsidRPr="0074512E" w14:paraId="0329317F"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254EBDEA" w14:textId="77777777" w:rsidR="00C704D1" w:rsidRPr="0074512E" w:rsidRDefault="00C704D1" w:rsidP="00AB3BE3">
            <w:pPr>
              <w:spacing w:line="240" w:lineRule="auto"/>
              <w:jc w:val="center"/>
              <w:rPr>
                <w:rFonts w:asciiTheme="minorHAnsi" w:eastAsia="Times New Roman" w:hAnsiTheme="minorHAnsi" w:cstheme="minorHAnsi"/>
              </w:rPr>
            </w:pPr>
            <w:r>
              <w:rPr>
                <w:rFonts w:cs="Calibri"/>
                <w:b w:val="0"/>
                <w:bCs w:val="0"/>
                <w:color w:val="000000"/>
              </w:rPr>
              <w:t>FRECUENCIA</w:t>
            </w:r>
          </w:p>
        </w:tc>
        <w:tc>
          <w:tcPr>
            <w:tcW w:w="6797" w:type="dxa"/>
            <w:shd w:val="clear" w:color="auto" w:fill="DBE5F1" w:themeFill="accent1" w:themeFillTint="33"/>
            <w:vAlign w:val="center"/>
          </w:tcPr>
          <w:p w14:paraId="58D875B9"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50 Hz.</w:t>
            </w:r>
          </w:p>
        </w:tc>
      </w:tr>
      <w:tr w:rsidR="00C704D1" w:rsidRPr="0074512E" w14:paraId="23AF3687"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5E5C8F34" w14:textId="77777777" w:rsidR="00C704D1" w:rsidRPr="0074512E" w:rsidRDefault="00C704D1" w:rsidP="00AB3BE3">
            <w:pPr>
              <w:spacing w:line="240" w:lineRule="auto"/>
              <w:jc w:val="center"/>
              <w:rPr>
                <w:rFonts w:asciiTheme="minorHAnsi" w:eastAsia="Times New Roman" w:hAnsiTheme="minorHAnsi" w:cstheme="minorHAnsi"/>
              </w:rPr>
            </w:pPr>
            <w:r>
              <w:rPr>
                <w:rFonts w:cs="Calibri"/>
                <w:b w:val="0"/>
                <w:bCs w:val="0"/>
                <w:color w:val="000000"/>
              </w:rPr>
              <w:lastRenderedPageBreak/>
              <w:t>TIPO INSTALACIÓN</w:t>
            </w:r>
          </w:p>
        </w:tc>
        <w:tc>
          <w:tcPr>
            <w:tcW w:w="6797" w:type="dxa"/>
            <w:shd w:val="clear" w:color="auto" w:fill="DBE5F1" w:themeFill="accent1" w:themeFillTint="33"/>
            <w:vAlign w:val="center"/>
          </w:tcPr>
          <w:p w14:paraId="1FEEB555"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Interior</w:t>
            </w:r>
          </w:p>
        </w:tc>
      </w:tr>
      <w:tr w:rsidR="00C704D1" w:rsidRPr="0074512E" w14:paraId="3CBAE85E"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13CB98CF" w14:textId="77777777" w:rsidR="00C704D1" w:rsidRPr="0074512E" w:rsidRDefault="00C704D1" w:rsidP="00AB3BE3">
            <w:pPr>
              <w:spacing w:line="240" w:lineRule="auto"/>
              <w:jc w:val="center"/>
              <w:rPr>
                <w:rFonts w:asciiTheme="minorHAnsi" w:eastAsia="Times New Roman" w:hAnsiTheme="minorHAnsi" w:cstheme="minorHAnsi"/>
              </w:rPr>
            </w:pPr>
            <w:r>
              <w:rPr>
                <w:rFonts w:cs="Calibri"/>
                <w:b w:val="0"/>
                <w:bCs w:val="0"/>
                <w:color w:val="000000"/>
              </w:rPr>
              <w:t>TIPO DE REFRIGERACIÓN</w:t>
            </w:r>
          </w:p>
        </w:tc>
        <w:tc>
          <w:tcPr>
            <w:tcW w:w="6797" w:type="dxa"/>
            <w:shd w:val="clear" w:color="auto" w:fill="DBE5F1" w:themeFill="accent1" w:themeFillTint="33"/>
            <w:vAlign w:val="center"/>
          </w:tcPr>
          <w:p w14:paraId="04B206C8"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AN</w:t>
            </w:r>
          </w:p>
        </w:tc>
      </w:tr>
      <w:tr w:rsidR="00C704D1" w:rsidRPr="0074512E" w14:paraId="5343EA90"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69714373" w14:textId="77777777" w:rsidR="00C704D1" w:rsidRPr="0074512E" w:rsidRDefault="00C704D1" w:rsidP="00AB3BE3">
            <w:pPr>
              <w:spacing w:line="240" w:lineRule="auto"/>
              <w:jc w:val="center"/>
              <w:rPr>
                <w:rFonts w:asciiTheme="minorHAnsi" w:eastAsia="Times New Roman" w:hAnsiTheme="minorHAnsi" w:cstheme="minorHAnsi"/>
              </w:rPr>
            </w:pPr>
            <w:r>
              <w:rPr>
                <w:rFonts w:cs="Calibri"/>
                <w:b w:val="0"/>
                <w:bCs w:val="0"/>
                <w:color w:val="000000"/>
              </w:rPr>
              <w:t>TENSIÓN ASIGNADA</w:t>
            </w:r>
          </w:p>
        </w:tc>
        <w:tc>
          <w:tcPr>
            <w:tcW w:w="6797" w:type="dxa"/>
            <w:shd w:val="clear" w:color="auto" w:fill="DBE5F1" w:themeFill="accent1" w:themeFillTint="33"/>
            <w:vAlign w:val="center"/>
          </w:tcPr>
          <w:p w14:paraId="393582CC"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Arrollamiento primario: 15.000 V</w:t>
            </w:r>
          </w:p>
          <w:p w14:paraId="54E794CA"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 xml:space="preserve">Arrollamiento secundario: 400/230 V </w:t>
            </w:r>
            <w:proofErr w:type="gramStart"/>
            <w:r w:rsidRPr="000024C7">
              <w:rPr>
                <w:rFonts w:cs="Calibri"/>
                <w:color w:val="000000"/>
              </w:rPr>
              <w:t>( en</w:t>
            </w:r>
            <w:proofErr w:type="gramEnd"/>
            <w:r w:rsidRPr="000024C7">
              <w:rPr>
                <w:rFonts w:cs="Calibri"/>
                <w:color w:val="000000"/>
              </w:rPr>
              <w:t xml:space="preserve"> vacío 420 V)</w:t>
            </w:r>
          </w:p>
        </w:tc>
      </w:tr>
      <w:tr w:rsidR="00C704D1" w:rsidRPr="0074512E" w14:paraId="3736E7A9"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6F8A86B4" w14:textId="77777777" w:rsidR="00C704D1" w:rsidRPr="0074512E" w:rsidRDefault="00C704D1" w:rsidP="00AB3BE3">
            <w:pPr>
              <w:spacing w:line="240" w:lineRule="auto"/>
              <w:jc w:val="center"/>
              <w:rPr>
                <w:rFonts w:asciiTheme="minorHAnsi" w:eastAsia="Times New Roman" w:hAnsiTheme="minorHAnsi" w:cstheme="minorHAnsi"/>
              </w:rPr>
            </w:pPr>
            <w:r>
              <w:rPr>
                <w:rFonts w:cs="Calibri"/>
                <w:b w:val="0"/>
                <w:bCs w:val="0"/>
                <w:color w:val="000000"/>
              </w:rPr>
              <w:t>CAMBIO DE TOMAS</w:t>
            </w:r>
          </w:p>
        </w:tc>
        <w:tc>
          <w:tcPr>
            <w:tcW w:w="6797" w:type="dxa"/>
            <w:shd w:val="clear" w:color="auto" w:fill="DBE5F1" w:themeFill="accent1" w:themeFillTint="33"/>
            <w:vAlign w:val="center"/>
          </w:tcPr>
          <w:p w14:paraId="305E92EA"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Sin tensión</w:t>
            </w:r>
          </w:p>
        </w:tc>
      </w:tr>
      <w:tr w:rsidR="00C704D1" w:rsidRPr="0074512E" w14:paraId="0FED6828"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50621144" w14:textId="77777777" w:rsidR="00C704D1" w:rsidRPr="0074512E" w:rsidRDefault="00C704D1" w:rsidP="00AB3BE3">
            <w:pPr>
              <w:spacing w:line="240" w:lineRule="auto"/>
              <w:jc w:val="center"/>
              <w:rPr>
                <w:rFonts w:asciiTheme="minorHAnsi" w:eastAsia="Times New Roman" w:hAnsiTheme="minorHAnsi" w:cstheme="minorHAnsi"/>
              </w:rPr>
            </w:pPr>
            <w:r w:rsidRPr="0074512E">
              <w:rPr>
                <w:rFonts w:cs="Calibri"/>
                <w:b w:val="0"/>
                <w:bCs w:val="0"/>
                <w:color w:val="000000"/>
              </w:rPr>
              <w:t>TOMAS DE AJUSTE DE TENSIÓN</w:t>
            </w:r>
          </w:p>
        </w:tc>
        <w:tc>
          <w:tcPr>
            <w:tcW w:w="6797" w:type="dxa"/>
            <w:shd w:val="clear" w:color="auto" w:fill="DBE5F1" w:themeFill="accent1" w:themeFillTint="33"/>
            <w:vAlign w:val="center"/>
          </w:tcPr>
          <w:p w14:paraId="5D3D337F"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3 escalones: ±2,5 +5 + 7,5 %</w:t>
            </w:r>
          </w:p>
        </w:tc>
      </w:tr>
      <w:tr w:rsidR="00C704D1" w:rsidRPr="0074512E" w14:paraId="399A2641"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21C171EB" w14:textId="77777777" w:rsidR="00C704D1" w:rsidRPr="0074512E" w:rsidRDefault="00C704D1" w:rsidP="00AB3BE3">
            <w:pPr>
              <w:spacing w:line="240" w:lineRule="auto"/>
              <w:jc w:val="center"/>
              <w:rPr>
                <w:rFonts w:asciiTheme="minorHAnsi" w:eastAsia="Times New Roman" w:hAnsiTheme="minorHAnsi" w:cstheme="minorHAnsi"/>
              </w:rPr>
            </w:pPr>
            <w:r>
              <w:rPr>
                <w:rFonts w:cs="Calibri"/>
                <w:b w:val="0"/>
                <w:bCs w:val="0"/>
                <w:color w:val="000000"/>
              </w:rPr>
              <w:t>ARROLLAMIENTO CON TOMAS</w:t>
            </w:r>
          </w:p>
        </w:tc>
        <w:tc>
          <w:tcPr>
            <w:tcW w:w="6797" w:type="dxa"/>
            <w:shd w:val="clear" w:color="auto" w:fill="DBE5F1" w:themeFill="accent1" w:themeFillTint="33"/>
            <w:vAlign w:val="center"/>
          </w:tcPr>
          <w:p w14:paraId="153BFE5E"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Alta tensión</w:t>
            </w:r>
          </w:p>
        </w:tc>
      </w:tr>
      <w:tr w:rsidR="00C704D1" w:rsidRPr="0074512E" w14:paraId="174B26F7"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69BA57BD" w14:textId="77777777" w:rsidR="00C704D1" w:rsidRPr="0074512E" w:rsidRDefault="00C704D1" w:rsidP="00AB3BE3">
            <w:pPr>
              <w:spacing w:line="240" w:lineRule="auto"/>
              <w:jc w:val="center"/>
              <w:rPr>
                <w:rFonts w:asciiTheme="minorHAnsi" w:eastAsia="Times New Roman" w:hAnsiTheme="minorHAnsi" w:cstheme="minorHAnsi"/>
              </w:rPr>
            </w:pPr>
            <w:r w:rsidRPr="003A0590">
              <w:rPr>
                <w:rFonts w:cs="Calibri"/>
                <w:b w:val="0"/>
                <w:bCs w:val="0"/>
                <w:color w:val="000000"/>
              </w:rPr>
              <w:t>TIPO DE REGULACIÓN DE TENSIÓN</w:t>
            </w:r>
            <w:r>
              <w:rPr>
                <w:rFonts w:cs="Calibri"/>
                <w:b w:val="0"/>
                <w:bCs w:val="0"/>
                <w:color w:val="000000"/>
              </w:rPr>
              <w:t xml:space="preserve"> EN TOMAS</w:t>
            </w:r>
          </w:p>
        </w:tc>
        <w:tc>
          <w:tcPr>
            <w:tcW w:w="6797" w:type="dxa"/>
            <w:shd w:val="clear" w:color="auto" w:fill="DBE5F1" w:themeFill="accent1" w:themeFillTint="33"/>
            <w:vAlign w:val="center"/>
          </w:tcPr>
          <w:p w14:paraId="2CC4DC7B"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Regulación por puente de conexión</w:t>
            </w:r>
          </w:p>
        </w:tc>
      </w:tr>
      <w:tr w:rsidR="00C704D1" w:rsidRPr="0074512E" w14:paraId="492B3D84"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392281C3" w14:textId="77777777" w:rsidR="00C704D1" w:rsidRPr="003A0590" w:rsidRDefault="00C704D1" w:rsidP="00AB3BE3">
            <w:pPr>
              <w:spacing w:line="240" w:lineRule="auto"/>
              <w:jc w:val="center"/>
              <w:rPr>
                <w:rFonts w:asciiTheme="minorHAnsi" w:eastAsia="Times New Roman" w:hAnsiTheme="minorHAnsi" w:cstheme="minorHAnsi"/>
                <w:b w:val="0"/>
              </w:rPr>
            </w:pPr>
            <w:r w:rsidRPr="003A0590">
              <w:rPr>
                <w:rFonts w:asciiTheme="minorHAnsi" w:eastAsia="Times New Roman" w:hAnsiTheme="minorHAnsi" w:cstheme="minorHAnsi"/>
                <w:b w:val="0"/>
              </w:rPr>
              <w:t>TENSIÓN MÁS ELEVADA PARA EL MATERIAL (UM) PARA CADA BORNE DE LINEA Y NEUTRO DE CADA ARROLLAMIENTO</w:t>
            </w:r>
          </w:p>
        </w:tc>
        <w:tc>
          <w:tcPr>
            <w:tcW w:w="6797" w:type="dxa"/>
            <w:shd w:val="clear" w:color="auto" w:fill="DBE5F1" w:themeFill="accent1" w:themeFillTint="33"/>
            <w:vAlign w:val="center"/>
          </w:tcPr>
          <w:p w14:paraId="7BD8D9DF"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proofErr w:type="spellStart"/>
            <w:r w:rsidRPr="000024C7">
              <w:rPr>
                <w:rFonts w:asciiTheme="minorHAnsi" w:eastAsia="Times New Roman" w:hAnsiTheme="minorHAnsi" w:cstheme="minorHAnsi"/>
              </w:rPr>
              <w:t>Um</w:t>
            </w:r>
            <w:proofErr w:type="spellEnd"/>
            <w:r w:rsidRPr="000024C7">
              <w:rPr>
                <w:rFonts w:asciiTheme="minorHAnsi" w:eastAsia="Times New Roman" w:hAnsiTheme="minorHAnsi" w:cstheme="minorHAnsi"/>
              </w:rPr>
              <w:t>= 17,5 / 1,1 kV para los niveles de aislamiento.</w:t>
            </w:r>
          </w:p>
        </w:tc>
      </w:tr>
      <w:tr w:rsidR="00C704D1" w:rsidRPr="0074512E" w14:paraId="07109745"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1AE3D463" w14:textId="77777777" w:rsidR="00C704D1" w:rsidRPr="0074512E" w:rsidRDefault="00C704D1" w:rsidP="00AB3BE3">
            <w:pPr>
              <w:spacing w:line="240" w:lineRule="auto"/>
              <w:jc w:val="center"/>
              <w:rPr>
                <w:rFonts w:asciiTheme="minorHAnsi" w:eastAsia="Times New Roman" w:hAnsiTheme="minorHAnsi" w:cstheme="minorHAnsi"/>
              </w:rPr>
            </w:pPr>
            <w:r>
              <w:rPr>
                <w:rFonts w:cs="Calibri"/>
                <w:b w:val="0"/>
                <w:bCs w:val="0"/>
                <w:color w:val="000000"/>
              </w:rPr>
              <w:t>METODO DE PUESTA A TIERRA</w:t>
            </w:r>
          </w:p>
        </w:tc>
        <w:tc>
          <w:tcPr>
            <w:tcW w:w="6797" w:type="dxa"/>
            <w:shd w:val="clear" w:color="auto" w:fill="DBE5F1" w:themeFill="accent1" w:themeFillTint="33"/>
            <w:vAlign w:val="center"/>
          </w:tcPr>
          <w:p w14:paraId="31578EDE"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Pantalla electrostática y 2 bornes de puesta a tierra.</w:t>
            </w:r>
          </w:p>
        </w:tc>
      </w:tr>
      <w:tr w:rsidR="00C704D1" w:rsidRPr="0074512E" w14:paraId="1F473AF7"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2287E385" w14:textId="77777777" w:rsidR="00C704D1" w:rsidRPr="0074512E" w:rsidRDefault="00C704D1" w:rsidP="00AB3BE3">
            <w:pPr>
              <w:spacing w:line="240" w:lineRule="auto"/>
              <w:jc w:val="center"/>
              <w:rPr>
                <w:rFonts w:asciiTheme="minorHAnsi" w:eastAsia="Times New Roman" w:hAnsiTheme="minorHAnsi" w:cstheme="minorHAnsi"/>
              </w:rPr>
            </w:pPr>
            <w:r w:rsidRPr="0074512E">
              <w:rPr>
                <w:rFonts w:cs="Calibri"/>
                <w:b w:val="0"/>
                <w:bCs w:val="0"/>
                <w:color w:val="000000"/>
              </w:rPr>
              <w:t>SOBRETENSIÓN ADMISIBLE, EN PERMANENCIA, CON CARGA NOMINAL</w:t>
            </w:r>
          </w:p>
        </w:tc>
        <w:tc>
          <w:tcPr>
            <w:tcW w:w="6797" w:type="dxa"/>
            <w:shd w:val="clear" w:color="auto" w:fill="DBE5F1" w:themeFill="accent1" w:themeFillTint="33"/>
            <w:vAlign w:val="center"/>
          </w:tcPr>
          <w:p w14:paraId="52303AA9"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+10%</w:t>
            </w:r>
          </w:p>
        </w:tc>
      </w:tr>
      <w:tr w:rsidR="00C704D1" w:rsidRPr="0074512E" w14:paraId="5FB62C60"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0AADD9D8" w14:textId="77777777" w:rsidR="00C704D1" w:rsidRPr="00CA0FC1" w:rsidRDefault="00C704D1" w:rsidP="00AB3BE3">
            <w:pPr>
              <w:spacing w:line="240" w:lineRule="auto"/>
              <w:jc w:val="center"/>
              <w:rPr>
                <w:rFonts w:asciiTheme="minorHAnsi" w:eastAsia="Times New Roman" w:hAnsiTheme="minorHAnsi" w:cstheme="minorHAnsi"/>
                <w:b w:val="0"/>
              </w:rPr>
            </w:pPr>
            <w:r w:rsidRPr="00CA0FC1">
              <w:rPr>
                <w:rFonts w:asciiTheme="minorHAnsi" w:eastAsia="Times New Roman" w:hAnsiTheme="minorHAnsi" w:cstheme="minorHAnsi"/>
                <w:b w:val="0"/>
              </w:rPr>
              <w:t>NIVÉL DE AISLAMIENTO Y NIVELES DE ENSAYO DIELÉCTRICO</w:t>
            </w:r>
          </w:p>
        </w:tc>
        <w:tc>
          <w:tcPr>
            <w:tcW w:w="6797" w:type="dxa"/>
            <w:shd w:val="clear" w:color="auto" w:fill="DBE5F1" w:themeFill="accent1" w:themeFillTint="33"/>
            <w:vAlign w:val="center"/>
          </w:tcPr>
          <w:p w14:paraId="4A8AEB37"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0024C7">
              <w:rPr>
                <w:rFonts w:asciiTheme="minorHAnsi" w:eastAsia="Times New Roman" w:hAnsiTheme="minorHAnsi" w:cstheme="minorHAnsi"/>
              </w:rPr>
              <w:t>AT 17,5/38/95 kV</w:t>
            </w:r>
          </w:p>
          <w:p w14:paraId="4E6E7C37"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0024C7">
              <w:rPr>
                <w:rFonts w:asciiTheme="minorHAnsi" w:eastAsia="Times New Roman" w:hAnsiTheme="minorHAnsi" w:cstheme="minorHAnsi"/>
              </w:rPr>
              <w:t>BT 1,1/10/ NA</w:t>
            </w:r>
          </w:p>
          <w:p w14:paraId="7FA01EA5"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0024C7">
              <w:rPr>
                <w:rFonts w:asciiTheme="minorHAnsi" w:eastAsia="Times New Roman" w:hAnsiTheme="minorHAnsi" w:cstheme="minorHAnsi"/>
              </w:rPr>
              <w:t>Tensión de cortocircuito: 6%</w:t>
            </w:r>
          </w:p>
          <w:p w14:paraId="3CC4A9E3"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0024C7">
              <w:rPr>
                <w:rFonts w:asciiTheme="minorHAnsi" w:eastAsia="Times New Roman" w:hAnsiTheme="minorHAnsi" w:cstheme="minorHAnsi"/>
              </w:rPr>
              <w:t>Descargas parciales: ≤ 10 pc</w:t>
            </w:r>
          </w:p>
        </w:tc>
      </w:tr>
      <w:tr w:rsidR="00C704D1" w:rsidRPr="0074512E" w14:paraId="49639E27"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6AD14094" w14:textId="77777777" w:rsidR="00C704D1" w:rsidRPr="0074512E" w:rsidRDefault="00C704D1" w:rsidP="00AB3BE3">
            <w:pPr>
              <w:spacing w:line="240" w:lineRule="auto"/>
              <w:jc w:val="center"/>
              <w:rPr>
                <w:rFonts w:asciiTheme="minorHAnsi" w:eastAsia="Times New Roman" w:hAnsiTheme="minorHAnsi" w:cstheme="minorHAnsi"/>
              </w:rPr>
            </w:pPr>
            <w:r w:rsidRPr="00CA0FC1">
              <w:rPr>
                <w:rFonts w:asciiTheme="minorHAnsi" w:eastAsia="Times New Roman" w:hAnsiTheme="minorHAnsi" w:cstheme="minorHAnsi"/>
                <w:b w:val="0"/>
              </w:rPr>
              <w:t xml:space="preserve">GRUPO DE CONEXIÓN </w:t>
            </w:r>
          </w:p>
        </w:tc>
        <w:tc>
          <w:tcPr>
            <w:tcW w:w="6797" w:type="dxa"/>
            <w:shd w:val="clear" w:color="auto" w:fill="DBE5F1" w:themeFill="accent1" w:themeFillTint="33"/>
            <w:vAlign w:val="center"/>
          </w:tcPr>
          <w:p w14:paraId="78A76892"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Dyn11</w:t>
            </w:r>
          </w:p>
        </w:tc>
      </w:tr>
      <w:tr w:rsidR="00C704D1" w:rsidRPr="0074512E" w14:paraId="0D9A05B2"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0DB7146A" w14:textId="77777777" w:rsidR="00C704D1" w:rsidRPr="0074512E" w:rsidRDefault="00C704D1" w:rsidP="00AB3BE3">
            <w:pPr>
              <w:spacing w:line="240" w:lineRule="auto"/>
              <w:jc w:val="center"/>
              <w:rPr>
                <w:rFonts w:asciiTheme="minorHAnsi" w:eastAsia="Times New Roman" w:hAnsiTheme="minorHAnsi" w:cstheme="minorHAnsi"/>
              </w:rPr>
            </w:pPr>
            <w:r w:rsidRPr="0074512E">
              <w:rPr>
                <w:rFonts w:cs="Calibri"/>
                <w:b w:val="0"/>
                <w:bCs w:val="0"/>
                <w:color w:val="000000"/>
              </w:rPr>
              <w:t>NEUTRO</w:t>
            </w:r>
          </w:p>
        </w:tc>
        <w:tc>
          <w:tcPr>
            <w:tcW w:w="6797" w:type="dxa"/>
            <w:shd w:val="clear" w:color="auto" w:fill="DBE5F1" w:themeFill="accent1" w:themeFillTint="33"/>
            <w:vAlign w:val="center"/>
          </w:tcPr>
          <w:p w14:paraId="4396DC9B"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Accesible</w:t>
            </w:r>
          </w:p>
        </w:tc>
      </w:tr>
      <w:tr w:rsidR="00C704D1" w:rsidRPr="0074512E" w14:paraId="45AE1B59"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68D939E7" w14:textId="77777777" w:rsidR="00C704D1" w:rsidRPr="0074512E" w:rsidRDefault="00C704D1" w:rsidP="00AB3BE3">
            <w:pPr>
              <w:spacing w:line="240" w:lineRule="auto"/>
              <w:jc w:val="center"/>
              <w:rPr>
                <w:rFonts w:asciiTheme="minorHAnsi" w:eastAsia="Times New Roman" w:hAnsiTheme="minorHAnsi" w:cstheme="minorHAnsi"/>
              </w:rPr>
            </w:pPr>
            <w:r w:rsidRPr="00CA0FC1">
              <w:rPr>
                <w:rFonts w:cs="Calibri"/>
                <w:b w:val="0"/>
                <w:bCs w:val="0"/>
                <w:color w:val="000000"/>
              </w:rPr>
              <w:t>C</w:t>
            </w:r>
            <w:r>
              <w:rPr>
                <w:rFonts w:cs="Calibri"/>
                <w:b w:val="0"/>
                <w:bCs w:val="0"/>
                <w:color w:val="000000"/>
              </w:rPr>
              <w:t>ALENTAMIENTO MÁXIMO GARANTIZADO</w:t>
            </w:r>
          </w:p>
        </w:tc>
        <w:tc>
          <w:tcPr>
            <w:tcW w:w="6797" w:type="dxa"/>
            <w:shd w:val="clear" w:color="auto" w:fill="DBE5F1" w:themeFill="accent1" w:themeFillTint="33"/>
            <w:vAlign w:val="center"/>
          </w:tcPr>
          <w:p w14:paraId="708F549E"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 xml:space="preserve">En devanados: 100 </w:t>
            </w:r>
            <w:proofErr w:type="spellStart"/>
            <w:r w:rsidRPr="000024C7">
              <w:rPr>
                <w:rFonts w:cs="Calibri"/>
                <w:color w:val="000000"/>
              </w:rPr>
              <w:t>°K</w:t>
            </w:r>
            <w:proofErr w:type="spellEnd"/>
          </w:p>
        </w:tc>
      </w:tr>
      <w:tr w:rsidR="00C704D1" w:rsidRPr="0074512E" w14:paraId="1F50F80E" w14:textId="77777777" w:rsidTr="00C704D1">
        <w:trPr>
          <w:cnfStyle w:val="000000100000" w:firstRow="0" w:lastRow="0" w:firstColumn="0" w:lastColumn="0" w:oddVBand="0" w:evenVBand="0" w:oddHBand="1" w:evenHBand="0" w:firstRowFirstColumn="0" w:firstRowLastColumn="0" w:lastRowFirstColumn="0" w:lastRowLastColumn="0"/>
          <w:trHeight w:val="2377"/>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435BF92D" w14:textId="77777777" w:rsidR="00C704D1" w:rsidRPr="0074512E" w:rsidRDefault="00C704D1" w:rsidP="00AB3BE3">
            <w:pPr>
              <w:spacing w:line="240" w:lineRule="auto"/>
              <w:jc w:val="center"/>
              <w:rPr>
                <w:rFonts w:asciiTheme="minorHAnsi" w:eastAsia="Times New Roman" w:hAnsiTheme="minorHAnsi" w:cstheme="minorHAnsi"/>
              </w:rPr>
            </w:pPr>
            <w:r w:rsidRPr="00CA0FC1">
              <w:rPr>
                <w:rFonts w:cs="Calibri"/>
                <w:b w:val="0"/>
                <w:bCs w:val="0"/>
                <w:color w:val="000000"/>
              </w:rPr>
              <w:t>TIPO Y DISPOSICIÓN DE LOS BORNE</w:t>
            </w:r>
            <w:r>
              <w:rPr>
                <w:rFonts w:cs="Calibri"/>
                <w:b w:val="0"/>
                <w:bCs w:val="0"/>
                <w:color w:val="000000"/>
              </w:rPr>
              <w:t>S</w:t>
            </w:r>
          </w:p>
        </w:tc>
        <w:tc>
          <w:tcPr>
            <w:tcW w:w="6797" w:type="dxa"/>
            <w:shd w:val="clear" w:color="auto" w:fill="DBE5F1" w:themeFill="accent1" w:themeFillTint="33"/>
            <w:vAlign w:val="center"/>
          </w:tcPr>
          <w:p w14:paraId="3A731701" w14:textId="77777777" w:rsidR="00C704D1" w:rsidRPr="000024C7" w:rsidRDefault="00C704D1" w:rsidP="00AB3BE3">
            <w:pPr>
              <w:spacing w:line="240" w:lineRule="auto"/>
              <w:ind w:left="1819"/>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 xml:space="preserve">CONEXIONES AT: </w:t>
            </w:r>
          </w:p>
          <w:p w14:paraId="6C464B2A" w14:textId="77777777" w:rsidR="00C704D1" w:rsidRPr="000024C7" w:rsidRDefault="00C704D1" w:rsidP="00AB3BE3">
            <w:pPr>
              <w:spacing w:line="240" w:lineRule="auto"/>
              <w:ind w:left="1819"/>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Tipo de conexión estándar</w:t>
            </w:r>
          </w:p>
          <w:p w14:paraId="5FBE873D" w14:textId="77777777" w:rsidR="00C704D1" w:rsidRPr="000024C7" w:rsidRDefault="00C704D1" w:rsidP="00AB3BE3">
            <w:pPr>
              <w:spacing w:line="240" w:lineRule="auto"/>
              <w:ind w:left="1819"/>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Llegada conexión arriba</w:t>
            </w:r>
          </w:p>
          <w:p w14:paraId="2B57081A" w14:textId="77777777" w:rsidR="00C704D1" w:rsidRPr="000024C7" w:rsidRDefault="00C704D1" w:rsidP="00AB3BE3">
            <w:pPr>
              <w:spacing w:line="240" w:lineRule="auto"/>
              <w:ind w:left="1819"/>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Posicionamiento conexiones arriba</w:t>
            </w:r>
          </w:p>
          <w:p w14:paraId="44DE9839" w14:textId="77777777" w:rsidR="00C704D1" w:rsidRPr="000024C7" w:rsidRDefault="00C704D1" w:rsidP="00AB3BE3">
            <w:pPr>
              <w:spacing w:line="240" w:lineRule="auto"/>
              <w:ind w:left="1819"/>
              <w:cnfStyle w:val="000000100000" w:firstRow="0" w:lastRow="0" w:firstColumn="0" w:lastColumn="0" w:oddVBand="0" w:evenVBand="0" w:oddHBand="1" w:evenHBand="0" w:firstRowFirstColumn="0" w:firstRowLastColumn="0" w:lastRowFirstColumn="0" w:lastRowLastColumn="0"/>
              <w:rPr>
                <w:rFonts w:cs="Calibri"/>
                <w:color w:val="000000"/>
              </w:rPr>
            </w:pPr>
          </w:p>
          <w:p w14:paraId="2A82A730" w14:textId="77777777" w:rsidR="00C704D1" w:rsidRPr="000024C7" w:rsidRDefault="00C704D1" w:rsidP="00AB3BE3">
            <w:pPr>
              <w:spacing w:line="240" w:lineRule="auto"/>
              <w:ind w:left="1819"/>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CONEXIONES BT:</w:t>
            </w:r>
          </w:p>
          <w:p w14:paraId="7154A62A" w14:textId="77777777" w:rsidR="00C704D1" w:rsidRPr="000024C7" w:rsidRDefault="00C704D1" w:rsidP="00AB3BE3">
            <w:pPr>
              <w:spacing w:line="240" w:lineRule="auto"/>
              <w:ind w:left="1819"/>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Tipo conexión estándar</w:t>
            </w:r>
          </w:p>
          <w:p w14:paraId="57778F45" w14:textId="77777777" w:rsidR="00C704D1" w:rsidRPr="000024C7" w:rsidRDefault="00C704D1" w:rsidP="00AB3BE3">
            <w:pPr>
              <w:spacing w:line="240" w:lineRule="auto"/>
              <w:ind w:left="1819"/>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Llegada conexión arriba</w:t>
            </w:r>
          </w:p>
          <w:p w14:paraId="20C02734" w14:textId="77777777" w:rsidR="00C704D1" w:rsidRPr="000024C7" w:rsidRDefault="00C704D1" w:rsidP="00AB3BE3">
            <w:pPr>
              <w:spacing w:line="240" w:lineRule="auto"/>
              <w:ind w:left="1819"/>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Posicionamiento conexiones BT superior</w:t>
            </w:r>
          </w:p>
          <w:p w14:paraId="06ACC744" w14:textId="77777777" w:rsidR="00C704D1" w:rsidRPr="000024C7" w:rsidRDefault="00C704D1" w:rsidP="00AB3BE3">
            <w:pPr>
              <w:spacing w:line="240" w:lineRule="auto"/>
              <w:ind w:left="1819"/>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Llegada secundaria cable</w:t>
            </w:r>
          </w:p>
          <w:p w14:paraId="2D653939" w14:textId="77777777" w:rsidR="00C704D1" w:rsidRPr="000024C7" w:rsidRDefault="00C704D1" w:rsidP="00AB3BE3">
            <w:pPr>
              <w:spacing w:line="240" w:lineRule="auto"/>
              <w:ind w:left="1819"/>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Terminales de conexión suplementaria SI</w:t>
            </w:r>
          </w:p>
        </w:tc>
      </w:tr>
      <w:tr w:rsidR="00C704D1" w:rsidRPr="0074512E" w14:paraId="2ADC10B3"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0048FB58" w14:textId="77777777" w:rsidR="00C704D1" w:rsidRPr="0074512E" w:rsidRDefault="00C704D1" w:rsidP="00AB3BE3">
            <w:pPr>
              <w:keepNext/>
              <w:spacing w:line="240" w:lineRule="auto"/>
              <w:jc w:val="center"/>
              <w:rPr>
                <w:rFonts w:asciiTheme="minorHAnsi" w:eastAsia="Times New Roman" w:hAnsiTheme="minorHAnsi" w:cstheme="minorHAnsi"/>
              </w:rPr>
            </w:pPr>
            <w:r w:rsidRPr="00CA0FC1">
              <w:rPr>
                <w:rFonts w:cs="Calibri"/>
                <w:b w:val="0"/>
                <w:bCs w:val="0"/>
                <w:color w:val="000000"/>
              </w:rPr>
              <w:t>CONEXIONES DEL NÚCLEO Y DE LA ESTRUCTURA DEBERÍAN SER ACCESIBLES PARA CONEXIÓN A TIERRA EXTERIOR</w:t>
            </w:r>
          </w:p>
        </w:tc>
        <w:tc>
          <w:tcPr>
            <w:tcW w:w="6797" w:type="dxa"/>
            <w:shd w:val="clear" w:color="auto" w:fill="DBE5F1" w:themeFill="accent1" w:themeFillTint="33"/>
            <w:vAlign w:val="center"/>
          </w:tcPr>
          <w:p w14:paraId="0ADF12AC" w14:textId="77777777" w:rsidR="00C704D1" w:rsidRPr="000024C7" w:rsidRDefault="00C704D1" w:rsidP="00AB3BE3">
            <w:pPr>
              <w:keepNext/>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Si</w:t>
            </w:r>
          </w:p>
        </w:tc>
      </w:tr>
      <w:tr w:rsidR="00C704D1" w:rsidRPr="0074512E" w14:paraId="33F03E05" w14:textId="77777777" w:rsidTr="00C704D1">
        <w:trPr>
          <w:cnfStyle w:val="000000100000" w:firstRow="0" w:lastRow="0" w:firstColumn="0" w:lastColumn="0" w:oddVBand="0" w:evenVBand="0" w:oddHBand="1" w:evenHBand="0" w:firstRowFirstColumn="0" w:firstRowLastColumn="0" w:lastRowFirstColumn="0" w:lastRowLastColumn="0"/>
          <w:trHeight w:val="1488"/>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57797E6E" w14:textId="77777777" w:rsidR="00C704D1" w:rsidRPr="00CA0FC1" w:rsidRDefault="00C704D1" w:rsidP="00AB3BE3">
            <w:pPr>
              <w:spacing w:line="240" w:lineRule="auto"/>
              <w:jc w:val="center"/>
              <w:rPr>
                <w:rFonts w:cs="Calibri"/>
                <w:b w:val="0"/>
                <w:bCs w:val="0"/>
                <w:color w:val="000000"/>
              </w:rPr>
            </w:pPr>
            <w:r>
              <w:rPr>
                <w:rFonts w:cs="Calibri"/>
                <w:b w:val="0"/>
                <w:bCs w:val="0"/>
                <w:color w:val="000000"/>
              </w:rPr>
              <w:t>ENSAYOS</w:t>
            </w:r>
          </w:p>
        </w:tc>
        <w:tc>
          <w:tcPr>
            <w:tcW w:w="6797" w:type="dxa"/>
            <w:shd w:val="clear" w:color="auto" w:fill="DBE5F1" w:themeFill="accent1" w:themeFillTint="33"/>
            <w:vAlign w:val="center"/>
          </w:tcPr>
          <w:p w14:paraId="6AF423A1" w14:textId="77777777" w:rsidR="00C704D1" w:rsidRPr="000024C7" w:rsidRDefault="00C704D1" w:rsidP="00C704D1">
            <w:pPr>
              <w:pStyle w:val="Prrafodelista"/>
              <w:numPr>
                <w:ilvl w:val="0"/>
                <w:numId w:val="10"/>
              </w:numPr>
              <w:spacing w:line="240" w:lineRule="auto"/>
              <w:ind w:left="685"/>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Ensayos de aplicación de la normativa aplicable:</w:t>
            </w:r>
          </w:p>
          <w:p w14:paraId="3307BB98" w14:textId="77777777" w:rsidR="00C704D1" w:rsidRPr="000024C7" w:rsidRDefault="00C704D1" w:rsidP="00C704D1">
            <w:pPr>
              <w:pStyle w:val="Prrafodelista"/>
              <w:numPr>
                <w:ilvl w:val="0"/>
                <w:numId w:val="10"/>
              </w:numPr>
              <w:spacing w:line="240" w:lineRule="auto"/>
              <w:ind w:left="685"/>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UNE-EN 60076-1:2013 - Transformadores de potencia. Parte 1: Generalidades.</w:t>
            </w:r>
          </w:p>
          <w:p w14:paraId="4AB48378" w14:textId="77777777" w:rsidR="00C704D1" w:rsidRPr="000024C7" w:rsidRDefault="00C704D1" w:rsidP="00C704D1">
            <w:pPr>
              <w:pStyle w:val="Prrafodelista"/>
              <w:numPr>
                <w:ilvl w:val="0"/>
                <w:numId w:val="10"/>
              </w:numPr>
              <w:spacing w:line="240" w:lineRule="auto"/>
              <w:ind w:left="685"/>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UNE-EN 60076-11:2005 Transformadores de potencia. Parte 11: Transformadores de tipo seco.</w:t>
            </w:r>
          </w:p>
          <w:p w14:paraId="0A2476DA" w14:textId="77777777" w:rsidR="00C704D1" w:rsidRPr="000024C7" w:rsidRDefault="00C704D1" w:rsidP="00C704D1">
            <w:pPr>
              <w:pStyle w:val="Prrafodelista"/>
              <w:numPr>
                <w:ilvl w:val="0"/>
                <w:numId w:val="10"/>
              </w:numPr>
              <w:spacing w:line="240" w:lineRule="auto"/>
              <w:ind w:left="685"/>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En el apartado 2.3 del presente documento se listan los resultados de los ensayos a entregar por el adjudicatario.</w:t>
            </w:r>
          </w:p>
        </w:tc>
      </w:tr>
      <w:tr w:rsidR="00C704D1" w:rsidRPr="0074512E" w14:paraId="5F6B248E" w14:textId="77777777" w:rsidTr="00C704D1">
        <w:trPr>
          <w:trHeight w:val="842"/>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228821D5" w14:textId="77777777" w:rsidR="00C704D1" w:rsidRDefault="00C704D1" w:rsidP="00AB3BE3">
            <w:pPr>
              <w:spacing w:line="240" w:lineRule="auto"/>
              <w:jc w:val="center"/>
              <w:rPr>
                <w:rFonts w:cs="Calibri"/>
                <w:b w:val="0"/>
                <w:bCs w:val="0"/>
                <w:color w:val="000000"/>
              </w:rPr>
            </w:pPr>
            <w:r>
              <w:rPr>
                <w:rFonts w:cs="Calibri"/>
                <w:b w:val="0"/>
                <w:bCs w:val="0"/>
                <w:color w:val="000000"/>
              </w:rPr>
              <w:t>REQUISITOS DE ENSAYOS</w:t>
            </w:r>
          </w:p>
        </w:tc>
        <w:tc>
          <w:tcPr>
            <w:tcW w:w="6797" w:type="dxa"/>
            <w:shd w:val="clear" w:color="auto" w:fill="DBE5F1" w:themeFill="accent1" w:themeFillTint="33"/>
            <w:vAlign w:val="center"/>
          </w:tcPr>
          <w:p w14:paraId="5B869DF4" w14:textId="77777777" w:rsidR="00C704D1" w:rsidRPr="000024C7" w:rsidRDefault="00C704D1" w:rsidP="00C704D1">
            <w:pPr>
              <w:pStyle w:val="Prrafodelista"/>
              <w:numPr>
                <w:ilvl w:val="0"/>
                <w:numId w:val="10"/>
              </w:numPr>
              <w:spacing w:line="240" w:lineRule="auto"/>
              <w:ind w:left="685"/>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Ensayo con tensión aplicada a 50Hz: 38kV eficaces durante 1 minuto</w:t>
            </w:r>
          </w:p>
          <w:p w14:paraId="56666E9C" w14:textId="77777777" w:rsidR="00C704D1" w:rsidRPr="000024C7" w:rsidRDefault="00C704D1" w:rsidP="00C704D1">
            <w:pPr>
              <w:pStyle w:val="Prrafodelista"/>
              <w:numPr>
                <w:ilvl w:val="0"/>
                <w:numId w:val="10"/>
              </w:numPr>
              <w:spacing w:line="240" w:lineRule="auto"/>
              <w:ind w:left="685"/>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Ensayo con tensión inducida a 120Hz: 0,8kV durante 1 minuto</w:t>
            </w:r>
          </w:p>
          <w:p w14:paraId="32AE2FC3" w14:textId="77777777" w:rsidR="00C704D1" w:rsidRPr="000024C7" w:rsidRDefault="00C704D1" w:rsidP="00C704D1">
            <w:pPr>
              <w:pStyle w:val="Prrafodelista"/>
              <w:numPr>
                <w:ilvl w:val="0"/>
                <w:numId w:val="10"/>
              </w:numPr>
              <w:spacing w:line="240" w:lineRule="auto"/>
              <w:ind w:left="685"/>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Ensayo impulso tipo rayo 1,2/50μs: 95kV cresta.</w:t>
            </w:r>
          </w:p>
        </w:tc>
      </w:tr>
      <w:tr w:rsidR="00C704D1" w:rsidRPr="0074512E" w14:paraId="6DA634F4"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2C6637D3" w14:textId="77777777" w:rsidR="00C704D1" w:rsidRPr="0074512E" w:rsidRDefault="00C704D1" w:rsidP="00AB3BE3">
            <w:pPr>
              <w:spacing w:line="240" w:lineRule="auto"/>
              <w:jc w:val="center"/>
              <w:rPr>
                <w:rFonts w:asciiTheme="minorHAnsi" w:eastAsia="Times New Roman" w:hAnsiTheme="minorHAnsi" w:cstheme="minorHAnsi"/>
              </w:rPr>
            </w:pPr>
            <w:r w:rsidRPr="00CA0FC1">
              <w:rPr>
                <w:rFonts w:cs="Calibri"/>
                <w:b w:val="0"/>
                <w:bCs w:val="0"/>
                <w:color w:val="000000"/>
              </w:rPr>
              <w:t>ALTITUD SOBRE EL NIVEL DEL MAR</w:t>
            </w:r>
          </w:p>
        </w:tc>
        <w:tc>
          <w:tcPr>
            <w:tcW w:w="6797" w:type="dxa"/>
            <w:shd w:val="clear" w:color="auto" w:fill="DBE5F1" w:themeFill="accent1" w:themeFillTint="33"/>
            <w:vAlign w:val="center"/>
          </w:tcPr>
          <w:p w14:paraId="68786421"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&lt;1000m</w:t>
            </w:r>
          </w:p>
        </w:tc>
      </w:tr>
      <w:tr w:rsidR="00C704D1" w:rsidRPr="0074512E" w14:paraId="1115D3ED"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1C4A7538" w14:textId="77777777" w:rsidR="00C704D1" w:rsidRPr="0074512E" w:rsidRDefault="00C704D1" w:rsidP="00AB3BE3">
            <w:pPr>
              <w:spacing w:line="240" w:lineRule="auto"/>
              <w:jc w:val="center"/>
              <w:rPr>
                <w:rFonts w:asciiTheme="minorHAnsi" w:eastAsia="Times New Roman" w:hAnsiTheme="minorHAnsi" w:cstheme="minorHAnsi"/>
              </w:rPr>
            </w:pPr>
            <w:r w:rsidRPr="00CA0FC1">
              <w:rPr>
                <w:rFonts w:cs="Calibri"/>
                <w:b w:val="0"/>
                <w:bCs w:val="0"/>
                <w:color w:val="000000"/>
              </w:rPr>
              <w:lastRenderedPageBreak/>
              <w:t>CONDICIONES DE TEMPERATURA</w:t>
            </w:r>
          </w:p>
        </w:tc>
        <w:tc>
          <w:tcPr>
            <w:tcW w:w="6797" w:type="dxa"/>
            <w:shd w:val="clear" w:color="auto" w:fill="DBE5F1" w:themeFill="accent1" w:themeFillTint="33"/>
            <w:vAlign w:val="center"/>
          </w:tcPr>
          <w:p w14:paraId="6F7FB37E"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Temperatura aire máxima 40°C</w:t>
            </w:r>
          </w:p>
        </w:tc>
      </w:tr>
      <w:tr w:rsidR="00C704D1" w:rsidRPr="0074512E" w14:paraId="4574E349"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0D6FD4FC" w14:textId="77777777" w:rsidR="00C704D1" w:rsidRPr="0074512E" w:rsidRDefault="00C704D1" w:rsidP="00AB3BE3">
            <w:pPr>
              <w:spacing w:line="240" w:lineRule="auto"/>
              <w:jc w:val="center"/>
              <w:rPr>
                <w:rFonts w:asciiTheme="minorHAnsi" w:eastAsia="Times New Roman" w:hAnsiTheme="minorHAnsi" w:cstheme="minorHAnsi"/>
              </w:rPr>
            </w:pPr>
            <w:r>
              <w:rPr>
                <w:rFonts w:cs="Calibri"/>
                <w:b w:val="0"/>
                <w:bCs w:val="0"/>
                <w:color w:val="000000"/>
              </w:rPr>
              <w:t>SERVICIO</w:t>
            </w:r>
          </w:p>
        </w:tc>
        <w:tc>
          <w:tcPr>
            <w:tcW w:w="6797" w:type="dxa"/>
            <w:shd w:val="clear" w:color="auto" w:fill="DBE5F1" w:themeFill="accent1" w:themeFillTint="33"/>
            <w:vAlign w:val="center"/>
          </w:tcPr>
          <w:p w14:paraId="164A8FA1"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Continuo</w:t>
            </w:r>
          </w:p>
        </w:tc>
      </w:tr>
      <w:tr w:rsidR="00C704D1" w:rsidRPr="0074512E" w14:paraId="5D298312"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30405285" w14:textId="77777777" w:rsidR="00C704D1" w:rsidRPr="0074512E" w:rsidRDefault="00C704D1" w:rsidP="00AB3BE3">
            <w:pPr>
              <w:spacing w:line="240" w:lineRule="auto"/>
              <w:jc w:val="center"/>
              <w:rPr>
                <w:rFonts w:asciiTheme="minorHAnsi" w:eastAsia="Times New Roman" w:hAnsiTheme="minorHAnsi" w:cstheme="minorHAnsi"/>
              </w:rPr>
            </w:pPr>
            <w:r w:rsidRPr="0074512E">
              <w:rPr>
                <w:rFonts w:cs="Calibri"/>
                <w:b w:val="0"/>
                <w:bCs w:val="0"/>
                <w:color w:val="000000"/>
              </w:rPr>
              <w:t>NIVEL DE DESCARGAS PARCIALES</w:t>
            </w:r>
          </w:p>
        </w:tc>
        <w:tc>
          <w:tcPr>
            <w:tcW w:w="6797" w:type="dxa"/>
            <w:shd w:val="clear" w:color="auto" w:fill="DBE5F1" w:themeFill="accent1" w:themeFillTint="33"/>
            <w:vAlign w:val="center"/>
          </w:tcPr>
          <w:p w14:paraId="2EAA7A7B"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 xml:space="preserve">Menor a 10 </w:t>
            </w:r>
            <w:proofErr w:type="spellStart"/>
            <w:r w:rsidRPr="000024C7">
              <w:rPr>
                <w:rFonts w:cs="Calibri"/>
                <w:color w:val="000000"/>
              </w:rPr>
              <w:t>picoculombios</w:t>
            </w:r>
            <w:proofErr w:type="spellEnd"/>
          </w:p>
        </w:tc>
      </w:tr>
      <w:tr w:rsidR="00C704D1" w:rsidRPr="0074512E" w14:paraId="44D9E0C0"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1C9620D5" w14:textId="77777777" w:rsidR="00C704D1" w:rsidRPr="0074512E" w:rsidRDefault="00C704D1" w:rsidP="00AB3BE3">
            <w:pPr>
              <w:spacing w:line="240" w:lineRule="auto"/>
              <w:jc w:val="center"/>
              <w:rPr>
                <w:rFonts w:asciiTheme="minorHAnsi" w:eastAsia="Times New Roman" w:hAnsiTheme="minorHAnsi" w:cstheme="minorHAnsi"/>
              </w:rPr>
            </w:pPr>
            <w:r w:rsidRPr="0074512E">
              <w:rPr>
                <w:rFonts w:cs="Calibri"/>
                <w:b w:val="0"/>
                <w:bCs w:val="0"/>
                <w:color w:val="000000"/>
              </w:rPr>
              <w:t>CLASIFICACIÓN MEDIOAMBIENTAL</w:t>
            </w:r>
          </w:p>
        </w:tc>
        <w:tc>
          <w:tcPr>
            <w:tcW w:w="6797" w:type="dxa"/>
            <w:shd w:val="clear" w:color="auto" w:fill="DBE5F1" w:themeFill="accent1" w:themeFillTint="33"/>
            <w:vAlign w:val="center"/>
          </w:tcPr>
          <w:p w14:paraId="4676564F"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Clase E2</w:t>
            </w:r>
          </w:p>
        </w:tc>
      </w:tr>
      <w:tr w:rsidR="00C704D1" w:rsidRPr="0074512E" w14:paraId="25AF0F10"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75900D99" w14:textId="77777777" w:rsidR="00C704D1" w:rsidRPr="0074512E" w:rsidRDefault="00C704D1" w:rsidP="00AB3BE3">
            <w:pPr>
              <w:spacing w:line="240" w:lineRule="auto"/>
              <w:jc w:val="center"/>
              <w:rPr>
                <w:rFonts w:asciiTheme="minorHAnsi" w:eastAsia="Times New Roman" w:hAnsiTheme="minorHAnsi" w:cstheme="minorHAnsi"/>
              </w:rPr>
            </w:pPr>
            <w:r w:rsidRPr="0074512E">
              <w:rPr>
                <w:rFonts w:cs="Calibri"/>
                <w:b w:val="0"/>
                <w:bCs w:val="0"/>
                <w:color w:val="000000"/>
              </w:rPr>
              <w:t>CLASIFICACIÓN CLIMÁTICA</w:t>
            </w:r>
          </w:p>
        </w:tc>
        <w:tc>
          <w:tcPr>
            <w:tcW w:w="6797" w:type="dxa"/>
            <w:shd w:val="clear" w:color="auto" w:fill="DBE5F1" w:themeFill="accent1" w:themeFillTint="33"/>
            <w:vAlign w:val="center"/>
          </w:tcPr>
          <w:p w14:paraId="32669D58"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Clase C2</w:t>
            </w:r>
          </w:p>
        </w:tc>
      </w:tr>
      <w:tr w:rsidR="00C704D1" w:rsidRPr="0074512E" w14:paraId="68FFA781"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47E1A756" w14:textId="77777777" w:rsidR="00C704D1" w:rsidRPr="0074512E" w:rsidRDefault="00C704D1" w:rsidP="00AB3BE3">
            <w:pPr>
              <w:spacing w:line="240" w:lineRule="auto"/>
              <w:jc w:val="center"/>
              <w:rPr>
                <w:rFonts w:asciiTheme="minorHAnsi" w:eastAsia="Times New Roman" w:hAnsiTheme="minorHAnsi" w:cstheme="minorHAnsi"/>
              </w:rPr>
            </w:pPr>
            <w:r w:rsidRPr="0074512E">
              <w:rPr>
                <w:rFonts w:cs="Calibri"/>
                <w:b w:val="0"/>
                <w:bCs w:val="0"/>
                <w:color w:val="000000"/>
              </w:rPr>
              <w:t>CLASIFICACIÓN FRENTE AL FUEGO</w:t>
            </w:r>
          </w:p>
        </w:tc>
        <w:tc>
          <w:tcPr>
            <w:tcW w:w="6797" w:type="dxa"/>
            <w:shd w:val="clear" w:color="auto" w:fill="DBE5F1" w:themeFill="accent1" w:themeFillTint="33"/>
            <w:vAlign w:val="center"/>
          </w:tcPr>
          <w:p w14:paraId="36DD75DE"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Clase F1</w:t>
            </w:r>
          </w:p>
        </w:tc>
      </w:tr>
      <w:tr w:rsidR="00C704D1" w:rsidRPr="0074512E" w14:paraId="48B186BD" w14:textId="77777777" w:rsidTr="00C704D1">
        <w:trPr>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32C9E23F" w14:textId="77777777" w:rsidR="00C704D1" w:rsidRPr="00CA0FC1" w:rsidRDefault="00C704D1" w:rsidP="00AB3BE3">
            <w:pPr>
              <w:spacing w:line="240" w:lineRule="auto"/>
              <w:jc w:val="center"/>
              <w:rPr>
                <w:rFonts w:cs="Calibri"/>
                <w:b w:val="0"/>
                <w:color w:val="000000"/>
              </w:rPr>
            </w:pPr>
            <w:r w:rsidRPr="00CA0FC1">
              <w:rPr>
                <w:rFonts w:cs="Calibri"/>
                <w:b w:val="0"/>
                <w:color w:val="000000"/>
              </w:rPr>
              <w:t>CLASE DE AISLAMIENTO</w:t>
            </w:r>
          </w:p>
        </w:tc>
        <w:tc>
          <w:tcPr>
            <w:tcW w:w="6797" w:type="dxa"/>
            <w:shd w:val="clear" w:color="auto" w:fill="DBE5F1" w:themeFill="accent1" w:themeFillTint="33"/>
            <w:vAlign w:val="center"/>
          </w:tcPr>
          <w:p w14:paraId="05F95153" w14:textId="77777777" w:rsidR="00C704D1" w:rsidRPr="000024C7" w:rsidRDefault="00C704D1" w:rsidP="00AB3BE3">
            <w:pPr>
              <w:spacing w:line="240" w:lineRule="auto"/>
              <w:jc w:val="center"/>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F/F</w:t>
            </w:r>
          </w:p>
        </w:tc>
      </w:tr>
      <w:tr w:rsidR="00C704D1" w:rsidRPr="0074512E" w14:paraId="07FC7BFC" w14:textId="77777777" w:rsidTr="00C704D1">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5D8AD33B" w14:textId="77777777" w:rsidR="00C704D1" w:rsidRPr="00CA0FC1" w:rsidRDefault="00C704D1" w:rsidP="00AB3BE3">
            <w:pPr>
              <w:spacing w:line="240" w:lineRule="auto"/>
              <w:jc w:val="center"/>
              <w:rPr>
                <w:rFonts w:cs="Calibri"/>
                <w:b w:val="0"/>
                <w:color w:val="000000"/>
              </w:rPr>
            </w:pPr>
            <w:r w:rsidRPr="00CA0FC1">
              <w:rPr>
                <w:rFonts w:cs="Calibri"/>
                <w:b w:val="0"/>
                <w:color w:val="000000"/>
              </w:rPr>
              <w:t>CALENTAMIENTO MEDIO ARROLLAMIENTOS (</w:t>
            </w:r>
            <w:proofErr w:type="spellStart"/>
            <w:r w:rsidRPr="00CA0FC1">
              <w:rPr>
                <w:rFonts w:cs="Calibri"/>
                <w:b w:val="0"/>
                <w:color w:val="000000"/>
              </w:rPr>
              <w:t>°K</w:t>
            </w:r>
            <w:proofErr w:type="spellEnd"/>
            <w:r>
              <w:rPr>
                <w:rFonts w:cs="Calibri"/>
                <w:b w:val="0"/>
                <w:color w:val="000000"/>
              </w:rPr>
              <w:t>)</w:t>
            </w:r>
          </w:p>
        </w:tc>
        <w:tc>
          <w:tcPr>
            <w:tcW w:w="6797" w:type="dxa"/>
            <w:shd w:val="clear" w:color="auto" w:fill="DBE5F1" w:themeFill="accent1" w:themeFillTint="33"/>
            <w:vAlign w:val="center"/>
          </w:tcPr>
          <w:p w14:paraId="31D65EB8" w14:textId="77777777" w:rsidR="00C704D1" w:rsidRPr="000024C7" w:rsidRDefault="00C704D1" w:rsidP="00AB3BE3">
            <w:pPr>
              <w:spacing w:line="240" w:lineRule="auto"/>
              <w:jc w:val="center"/>
              <w:cnfStyle w:val="000000100000" w:firstRow="0" w:lastRow="0" w:firstColumn="0" w:lastColumn="0" w:oddVBand="0" w:evenVBand="0" w:oddHBand="1" w:evenHBand="0" w:firstRowFirstColumn="0" w:firstRowLastColumn="0" w:lastRowFirstColumn="0" w:lastRowLastColumn="0"/>
              <w:rPr>
                <w:rFonts w:cs="Calibri"/>
                <w:color w:val="000000"/>
              </w:rPr>
            </w:pPr>
            <w:r w:rsidRPr="000024C7">
              <w:rPr>
                <w:rFonts w:cs="Calibri"/>
                <w:color w:val="000000"/>
              </w:rPr>
              <w:t>80/80</w:t>
            </w:r>
          </w:p>
        </w:tc>
      </w:tr>
      <w:tr w:rsidR="00C704D1" w:rsidRPr="0074512E" w14:paraId="488CDDAE" w14:textId="77777777" w:rsidTr="00C704D1">
        <w:trPr>
          <w:trHeight w:val="1862"/>
          <w:jc w:val="center"/>
        </w:trPr>
        <w:tc>
          <w:tcPr>
            <w:cnfStyle w:val="001000000000" w:firstRow="0" w:lastRow="0" w:firstColumn="1" w:lastColumn="0" w:oddVBand="0" w:evenVBand="0" w:oddHBand="0" w:evenHBand="0" w:firstRowFirstColumn="0" w:firstRowLastColumn="0" w:lastRowFirstColumn="0" w:lastRowLastColumn="0"/>
            <w:tcW w:w="1762" w:type="dxa"/>
            <w:shd w:val="clear" w:color="auto" w:fill="DBE5F1" w:themeFill="accent1" w:themeFillTint="33"/>
            <w:noWrap/>
            <w:vAlign w:val="center"/>
          </w:tcPr>
          <w:p w14:paraId="7C2D1C6E" w14:textId="77777777" w:rsidR="00C704D1" w:rsidRPr="0074512E" w:rsidRDefault="00C704D1" w:rsidP="00AB3BE3">
            <w:pPr>
              <w:spacing w:line="240" w:lineRule="auto"/>
              <w:jc w:val="center"/>
              <w:rPr>
                <w:rFonts w:asciiTheme="minorHAnsi" w:eastAsia="Times New Roman" w:hAnsiTheme="minorHAnsi" w:cstheme="minorHAnsi"/>
              </w:rPr>
            </w:pPr>
            <w:proofErr w:type="gramStart"/>
            <w:r w:rsidRPr="0074512E">
              <w:rPr>
                <w:rFonts w:cs="Calibri"/>
                <w:b w:val="0"/>
                <w:bCs w:val="0"/>
                <w:color w:val="000000"/>
              </w:rPr>
              <w:t>ACCESORIOS</w:t>
            </w:r>
            <w:r>
              <w:rPr>
                <w:rFonts w:cs="Calibri"/>
                <w:b w:val="0"/>
                <w:bCs w:val="0"/>
                <w:color w:val="000000"/>
              </w:rPr>
              <w:t xml:space="preserve"> A ENTREGAR</w:t>
            </w:r>
            <w:proofErr w:type="gramEnd"/>
            <w:r>
              <w:rPr>
                <w:rFonts w:cs="Calibri"/>
                <w:b w:val="0"/>
                <w:bCs w:val="0"/>
                <w:color w:val="000000"/>
              </w:rPr>
              <w:t xml:space="preserve"> CON CADA TRASNFORMADOR</w:t>
            </w:r>
          </w:p>
        </w:tc>
        <w:tc>
          <w:tcPr>
            <w:tcW w:w="6797" w:type="dxa"/>
            <w:shd w:val="clear" w:color="auto" w:fill="DBE5F1" w:themeFill="accent1" w:themeFillTint="33"/>
            <w:vAlign w:val="center"/>
          </w:tcPr>
          <w:p w14:paraId="69A89667" w14:textId="77777777" w:rsidR="00C704D1" w:rsidRPr="000024C7" w:rsidRDefault="00C704D1" w:rsidP="00C704D1">
            <w:pPr>
              <w:pStyle w:val="Prrafodelista"/>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Dos placas de características en castellano.</w:t>
            </w:r>
          </w:p>
          <w:p w14:paraId="039EE3BC" w14:textId="77777777" w:rsidR="00C704D1" w:rsidRPr="000024C7" w:rsidRDefault="00C704D1" w:rsidP="00C704D1">
            <w:pPr>
              <w:pStyle w:val="Prrafodelista"/>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Anillos de elevación y enganches para arrastre.</w:t>
            </w:r>
          </w:p>
          <w:p w14:paraId="01934F82" w14:textId="77777777" w:rsidR="00C704D1" w:rsidRPr="000024C7" w:rsidRDefault="00C704D1" w:rsidP="00C704D1">
            <w:pPr>
              <w:pStyle w:val="Prrafodelista"/>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Ruedas bidireccionales y orientables.</w:t>
            </w:r>
          </w:p>
          <w:p w14:paraId="0B5DE826" w14:textId="77777777" w:rsidR="00C704D1" w:rsidRPr="000024C7" w:rsidRDefault="00C704D1" w:rsidP="00C704D1">
            <w:pPr>
              <w:pStyle w:val="Prrafodelista"/>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 xml:space="preserve">Tres sondas de temperatura PT100 en las bobinas de BT, una sonda PT100 en el núcleo (cuatro sondas en total), funciones de alarma/disparo y una centralita de protección y medida </w:t>
            </w:r>
            <w:proofErr w:type="spellStart"/>
            <w:r w:rsidRPr="000024C7">
              <w:rPr>
                <w:rFonts w:cs="Calibri"/>
                <w:color w:val="000000"/>
              </w:rPr>
              <w:t>Tecsystem</w:t>
            </w:r>
            <w:proofErr w:type="spellEnd"/>
            <w:r w:rsidRPr="000024C7">
              <w:rPr>
                <w:rFonts w:cs="Calibri"/>
                <w:color w:val="000000"/>
              </w:rPr>
              <w:t xml:space="preserve"> NT935 AD</w:t>
            </w:r>
          </w:p>
          <w:p w14:paraId="2C9FBCF1" w14:textId="77777777" w:rsidR="00C704D1" w:rsidRPr="000024C7" w:rsidRDefault="00C704D1" w:rsidP="00C704D1">
            <w:pPr>
              <w:pStyle w:val="Prrafodelista"/>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Manual de instalación.</w:t>
            </w:r>
          </w:p>
          <w:p w14:paraId="0720454E" w14:textId="77777777" w:rsidR="00C704D1" w:rsidRPr="000024C7" w:rsidRDefault="00C704D1" w:rsidP="00C704D1">
            <w:pPr>
              <w:pStyle w:val="Prrafodelista"/>
              <w:numPr>
                <w:ilvl w:val="0"/>
                <w:numId w:val="10"/>
              </w:numPr>
              <w:spacing w:line="240" w:lineRule="auto"/>
              <w:ind w:left="685"/>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Resultados ensayos de rutina realizados en fábrica (IEC 60076) (UNE EN 60726) (UNE EN 60076-11)</w:t>
            </w:r>
          </w:p>
          <w:p w14:paraId="7C0F71B3" w14:textId="77777777" w:rsidR="00C704D1" w:rsidRPr="000024C7" w:rsidRDefault="00C704D1" w:rsidP="00C704D1">
            <w:pPr>
              <w:pStyle w:val="Prrafodelista"/>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 xml:space="preserve">Accesorios de conexión: conectores de potencia flexibles de trenza aislada para todas las conexiones de BT </w:t>
            </w:r>
          </w:p>
          <w:p w14:paraId="7789D699" w14:textId="77777777" w:rsidR="00C704D1" w:rsidRPr="000024C7" w:rsidRDefault="00C704D1" w:rsidP="00C704D1">
            <w:pPr>
              <w:pStyle w:val="Prrafodelista"/>
              <w:numPr>
                <w:ilvl w:val="1"/>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Conexiones de Potencia (PBC)</w:t>
            </w:r>
          </w:p>
          <w:p w14:paraId="7DFAA9D5" w14:textId="77777777" w:rsidR="00C704D1" w:rsidRPr="000024C7" w:rsidRDefault="00C704D1" w:rsidP="00C704D1">
            <w:pPr>
              <w:pStyle w:val="Prrafodelista"/>
              <w:numPr>
                <w:ilvl w:val="1"/>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Terminales sin taladrar</w:t>
            </w:r>
          </w:p>
          <w:p w14:paraId="14525322" w14:textId="77777777" w:rsidR="00C704D1" w:rsidRPr="000024C7" w:rsidRDefault="00C704D1" w:rsidP="00C704D1">
            <w:pPr>
              <w:pStyle w:val="Prrafodelista"/>
              <w:numPr>
                <w:ilvl w:val="1"/>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Hilo de cobre estañado electrolítico de Ø 0.15 mm</w:t>
            </w:r>
          </w:p>
          <w:p w14:paraId="354BF17B" w14:textId="77777777" w:rsidR="00C704D1" w:rsidRPr="000024C7" w:rsidRDefault="00C704D1" w:rsidP="00C704D1">
            <w:pPr>
              <w:pStyle w:val="Prrafodelista"/>
              <w:numPr>
                <w:ilvl w:val="1"/>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Sección mm2: 100</w:t>
            </w:r>
          </w:p>
          <w:p w14:paraId="3D7BC304" w14:textId="77777777" w:rsidR="00C704D1" w:rsidRPr="000024C7" w:rsidRDefault="00C704D1" w:rsidP="00C704D1">
            <w:pPr>
              <w:pStyle w:val="Prrafodelista"/>
              <w:numPr>
                <w:ilvl w:val="1"/>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Medidas mínimas en mm:</w:t>
            </w:r>
          </w:p>
          <w:p w14:paraId="4FF5474B" w14:textId="77777777" w:rsidR="00C704D1" w:rsidRPr="000024C7" w:rsidRDefault="00C704D1" w:rsidP="00C704D1">
            <w:pPr>
              <w:pStyle w:val="Prrafodelista"/>
              <w:numPr>
                <w:ilvl w:val="2"/>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L (Largo): 500</w:t>
            </w:r>
          </w:p>
          <w:p w14:paraId="0FBCF618" w14:textId="77777777" w:rsidR="00C704D1" w:rsidRPr="000024C7" w:rsidRDefault="00C704D1" w:rsidP="00C704D1">
            <w:pPr>
              <w:pStyle w:val="Prrafodelista"/>
              <w:numPr>
                <w:ilvl w:val="2"/>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B (Ancho): 40</w:t>
            </w:r>
          </w:p>
          <w:p w14:paraId="5F39B522" w14:textId="77777777" w:rsidR="00C704D1" w:rsidRPr="000024C7" w:rsidRDefault="00C704D1" w:rsidP="00C704D1">
            <w:pPr>
              <w:pStyle w:val="Prrafodelista"/>
              <w:numPr>
                <w:ilvl w:val="2"/>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C (Alto): 7</w:t>
            </w:r>
          </w:p>
          <w:p w14:paraId="43E6BEF4" w14:textId="77777777" w:rsidR="00C704D1" w:rsidRPr="000024C7" w:rsidRDefault="00C704D1" w:rsidP="00C704D1">
            <w:pPr>
              <w:pStyle w:val="Prrafodelista"/>
              <w:numPr>
                <w:ilvl w:val="2"/>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rFonts w:cs="Calibri"/>
                <w:color w:val="000000"/>
              </w:rPr>
              <w:t>A (largo terminales): 35</w:t>
            </w:r>
          </w:p>
          <w:p w14:paraId="06387C2C" w14:textId="77777777" w:rsidR="00C704D1" w:rsidRPr="000024C7" w:rsidRDefault="00C704D1" w:rsidP="00AB3BE3">
            <w:pPr>
              <w:pStyle w:val="Prrafodelista"/>
              <w:spacing w:line="240" w:lineRule="auto"/>
              <w:ind w:left="2160"/>
              <w:cnfStyle w:val="000000000000" w:firstRow="0" w:lastRow="0" w:firstColumn="0" w:lastColumn="0" w:oddVBand="0" w:evenVBand="0" w:oddHBand="0" w:evenHBand="0" w:firstRowFirstColumn="0" w:firstRowLastColumn="0" w:lastRowFirstColumn="0" w:lastRowLastColumn="0"/>
              <w:rPr>
                <w:rFonts w:cs="Calibri"/>
                <w:color w:val="000000"/>
              </w:rPr>
            </w:pPr>
          </w:p>
          <w:p w14:paraId="40005C2E" w14:textId="77777777" w:rsidR="00C704D1" w:rsidRPr="000024C7" w:rsidRDefault="00C704D1" w:rsidP="00AB3BE3">
            <w:pPr>
              <w:pStyle w:val="Prrafodelista"/>
              <w:spacing w:line="240" w:lineRule="auto"/>
              <w:ind w:left="2160"/>
              <w:cnfStyle w:val="000000000000" w:firstRow="0" w:lastRow="0" w:firstColumn="0" w:lastColumn="0" w:oddVBand="0" w:evenVBand="0" w:oddHBand="0" w:evenHBand="0" w:firstRowFirstColumn="0" w:firstRowLastColumn="0" w:lastRowFirstColumn="0" w:lastRowLastColumn="0"/>
              <w:rPr>
                <w:rFonts w:cs="Calibri"/>
                <w:color w:val="000000"/>
              </w:rPr>
            </w:pPr>
          </w:p>
          <w:p w14:paraId="68DD3364" w14:textId="77777777" w:rsidR="00C704D1" w:rsidRPr="000024C7" w:rsidRDefault="00C704D1" w:rsidP="00AB3BE3">
            <w:pPr>
              <w:pStyle w:val="Prrafodelista"/>
              <w:spacing w:line="240" w:lineRule="auto"/>
              <w:ind w:left="1109"/>
              <w:cnfStyle w:val="000000000000" w:firstRow="0" w:lastRow="0" w:firstColumn="0" w:lastColumn="0" w:oddVBand="0" w:evenVBand="0" w:oddHBand="0" w:evenHBand="0" w:firstRowFirstColumn="0" w:firstRowLastColumn="0" w:lastRowFirstColumn="0" w:lastRowLastColumn="0"/>
              <w:rPr>
                <w:rFonts w:cs="Calibri"/>
                <w:color w:val="000000"/>
              </w:rPr>
            </w:pPr>
            <w:r w:rsidRPr="000024C7">
              <w:rPr>
                <w:noProof/>
              </w:rPr>
              <w:drawing>
                <wp:inline distT="0" distB="0" distL="0" distR="0" wp14:anchorId="5F213047" wp14:editId="740AB1CD">
                  <wp:extent cx="2580216" cy="1191591"/>
                  <wp:effectExtent l="0" t="0" r="0" b="8890"/>
                  <wp:docPr id="1073440164" name="Imagen 1" descr="Un conjunto de letras blancas en un fondo blanc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440164" name="Imagen 1" descr="Un conjunto de letras blancas en un fondo blanco&#10;&#10;Descripción generada automáticamente con confianza baja"/>
                          <pic:cNvPicPr/>
                        </pic:nvPicPr>
                        <pic:blipFill>
                          <a:blip r:embed="rId8"/>
                          <a:stretch>
                            <a:fillRect/>
                          </a:stretch>
                        </pic:blipFill>
                        <pic:spPr>
                          <a:xfrm>
                            <a:off x="0" y="0"/>
                            <a:ext cx="2608761" cy="1204774"/>
                          </a:xfrm>
                          <a:prstGeom prst="rect">
                            <a:avLst/>
                          </a:prstGeom>
                        </pic:spPr>
                      </pic:pic>
                    </a:graphicData>
                  </a:graphic>
                </wp:inline>
              </w:drawing>
            </w:r>
          </w:p>
          <w:p w14:paraId="090965A3" w14:textId="77777777" w:rsidR="00C704D1" w:rsidRPr="000024C7" w:rsidRDefault="00C704D1" w:rsidP="00C704D1">
            <w:pPr>
              <w:pStyle w:val="Prrafodelista"/>
              <w:numPr>
                <w:ilvl w:val="0"/>
                <w:numId w:val="9"/>
              </w:numPr>
              <w:spacing w:line="240" w:lineRule="auto"/>
              <w:cnfStyle w:val="000000000000" w:firstRow="0" w:lastRow="0" w:firstColumn="0" w:lastColumn="0" w:oddVBand="0" w:evenVBand="0" w:oddHBand="0" w:evenHBand="0" w:firstRowFirstColumn="0" w:firstRowLastColumn="0" w:lastRowFirstColumn="0" w:lastRowLastColumn="0"/>
              <w:rPr>
                <w:rFonts w:cs="Calibri"/>
                <w:color w:val="000000"/>
              </w:rPr>
            </w:pPr>
          </w:p>
        </w:tc>
      </w:tr>
    </w:tbl>
    <w:p w14:paraId="2C3FAC3B" w14:textId="77777777" w:rsidR="00C704D1" w:rsidRDefault="00C704D1" w:rsidP="00C704D1">
      <w:pPr>
        <w:pStyle w:val="Textosinformato"/>
        <w:keepNext/>
        <w:widowControl w:val="0"/>
        <w:spacing w:after="120" w:line="312" w:lineRule="auto"/>
        <w:jc w:val="both"/>
        <w:rPr>
          <w:rFonts w:asciiTheme="minorHAnsi" w:hAnsiTheme="minorHAnsi" w:cstheme="minorHAnsi"/>
          <w:sz w:val="22"/>
          <w:szCs w:val="22"/>
        </w:rPr>
      </w:pPr>
    </w:p>
    <w:p w14:paraId="5EFE7508"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41D4EE75"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20CCCA8F" w14:textId="77777777" w:rsidR="003D61AB" w:rsidRDefault="003D61AB" w:rsidP="00CC056C">
      <w:pPr>
        <w:autoSpaceDE w:val="0"/>
        <w:autoSpaceDN w:val="0"/>
        <w:adjustRightInd w:val="0"/>
        <w:spacing w:line="240" w:lineRule="auto"/>
        <w:rPr>
          <w:rFonts w:asciiTheme="minorHAnsi" w:hAnsiTheme="minorHAnsi" w:cstheme="minorHAnsi"/>
          <w:sz w:val="22"/>
          <w:szCs w:val="22"/>
        </w:rPr>
      </w:pPr>
    </w:p>
    <w:p w14:paraId="6B83916F"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316F4616"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14E09016" w14:textId="77777777"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06046A85" w14:textId="77777777"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72773194" w14:textId="77777777" w:rsidR="00CC056C" w:rsidRPr="00A600D8" w:rsidRDefault="003D61AB" w:rsidP="009A65B0">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61B5DC9F" w14:textId="77777777" w:rsidR="00FC1164" w:rsidRPr="00A600D8" w:rsidRDefault="00FC1164" w:rsidP="00537B93">
      <w:pPr>
        <w:pStyle w:val="Textosinformato"/>
        <w:spacing w:after="120" w:line="312" w:lineRule="auto"/>
        <w:jc w:val="both"/>
        <w:rPr>
          <w:rFonts w:asciiTheme="minorHAnsi" w:hAnsiTheme="minorHAnsi" w:cstheme="minorHAnsi"/>
          <w:b/>
          <w:color w:val="1F497D" w:themeColor="text2"/>
          <w:sz w:val="22"/>
          <w:szCs w:val="22"/>
        </w:rPr>
      </w:pPr>
    </w:p>
    <w:sectPr w:rsidR="00FC1164" w:rsidRPr="00A600D8" w:rsidSect="00B73192">
      <w:headerReference w:type="default" r:id="rId9"/>
      <w:footerReference w:type="default" r:id="rId10"/>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F5236" w14:textId="77777777" w:rsidR="004919AA" w:rsidRDefault="004919AA" w:rsidP="006026D8">
      <w:pPr>
        <w:spacing w:line="240" w:lineRule="auto"/>
      </w:pPr>
      <w:r>
        <w:separator/>
      </w:r>
    </w:p>
  </w:endnote>
  <w:endnote w:type="continuationSeparator" w:id="0">
    <w:p w14:paraId="5BBAF659" w14:textId="77777777" w:rsidR="004919AA" w:rsidRDefault="004919AA"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B87CE" w14:textId="1572969E" w:rsidR="0035379F" w:rsidRPr="004451F0" w:rsidRDefault="0035379F" w:rsidP="00050318">
    <w:pPr>
      <w:spacing w:after="120" w:line="312" w:lineRule="auto"/>
      <w:jc w:val="center"/>
      <w:rPr>
        <w:b/>
        <w:bCs/>
      </w:rPr>
    </w:pPr>
    <w:r w:rsidRPr="005A55A9">
      <w:rPr>
        <w:b/>
        <w:bCs/>
      </w:rPr>
      <w:t xml:space="preserve">PLIEGO DE PRESCRIPCIONES TÉCNICAS PARA LA </w:t>
    </w:r>
    <w:r w:rsidR="00613247">
      <w:rPr>
        <w:b/>
        <w:bCs/>
      </w:rPr>
      <w:t xml:space="preserve">CONTRATACIÓN DEL </w:t>
    </w:r>
    <w:r w:rsidR="00C704D1" w:rsidRPr="00C704D1">
      <w:rPr>
        <w:b/>
        <w:bCs/>
      </w:rPr>
      <w:t xml:space="preserve">SUMINISTRO DE TRANSFORMADORES SECOS DE 500 </w:t>
    </w:r>
    <w:proofErr w:type="spellStart"/>
    <w:r w:rsidR="00C704D1" w:rsidRPr="00C704D1">
      <w:rPr>
        <w:b/>
        <w:bCs/>
      </w:rPr>
      <w:t>kVA</w:t>
    </w:r>
    <w:proofErr w:type="spellEnd"/>
    <w:r w:rsidR="00C704D1" w:rsidRPr="00C704D1">
      <w:rPr>
        <w:b/>
        <w:bCs/>
      </w:rPr>
      <w:t xml:space="preserve"> PARA LOS CENTROS DE TRANSFORMACIÓN DE METRO DE MADRID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5DDBB" w14:textId="77777777" w:rsidR="004919AA" w:rsidRDefault="004919AA" w:rsidP="006026D8">
      <w:pPr>
        <w:spacing w:line="240" w:lineRule="auto"/>
      </w:pPr>
      <w:r>
        <w:separator/>
      </w:r>
    </w:p>
  </w:footnote>
  <w:footnote w:type="continuationSeparator" w:id="0">
    <w:p w14:paraId="49C95EBF" w14:textId="77777777" w:rsidR="004919AA" w:rsidRDefault="004919AA"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74EC6" w14:textId="77777777"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659E7586" wp14:editId="0B0F74B1">
          <wp:simplePos x="0" y="0"/>
          <wp:positionH relativeFrom="page">
            <wp:posOffset>628650</wp:posOffset>
          </wp:positionH>
          <wp:positionV relativeFrom="page">
            <wp:posOffset>533400</wp:posOffset>
          </wp:positionV>
          <wp:extent cx="818515" cy="574675"/>
          <wp:effectExtent l="0" t="0" r="63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074042">
      <w:rPr>
        <w:noProof/>
        <w:sz w:val="20"/>
        <w:szCs w:val="20"/>
      </w:rPr>
      <w:t>3</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074042">
      <w:rPr>
        <w:noProof/>
        <w:sz w:val="20"/>
        <w:szCs w:val="20"/>
      </w:rPr>
      <w:t>3</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07401F4"/>
    <w:multiLevelType w:val="hybridMultilevel"/>
    <w:tmpl w:val="7214E4DA"/>
    <w:lvl w:ilvl="0" w:tplc="513E3D7E">
      <w:start w:val="100"/>
      <w:numFmt w:val="bullet"/>
      <w:lvlText w:val="-"/>
      <w:lvlJc w:val="left"/>
      <w:pPr>
        <w:ind w:left="478" w:hanging="360"/>
      </w:pPr>
      <w:rPr>
        <w:rFonts w:ascii="Calibri" w:eastAsia="Calibri" w:hAnsi="Calibri" w:cs="Calibri" w:hint="default"/>
      </w:rPr>
    </w:lvl>
    <w:lvl w:ilvl="1" w:tplc="0C0A0003" w:tentative="1">
      <w:start w:val="1"/>
      <w:numFmt w:val="bullet"/>
      <w:lvlText w:val="o"/>
      <w:lvlJc w:val="left"/>
      <w:pPr>
        <w:ind w:left="1198" w:hanging="360"/>
      </w:pPr>
      <w:rPr>
        <w:rFonts w:ascii="Courier New" w:hAnsi="Courier New" w:cs="Courier New" w:hint="default"/>
      </w:rPr>
    </w:lvl>
    <w:lvl w:ilvl="2" w:tplc="0C0A0005" w:tentative="1">
      <w:start w:val="1"/>
      <w:numFmt w:val="bullet"/>
      <w:lvlText w:val=""/>
      <w:lvlJc w:val="left"/>
      <w:pPr>
        <w:ind w:left="1918" w:hanging="360"/>
      </w:pPr>
      <w:rPr>
        <w:rFonts w:ascii="Wingdings" w:hAnsi="Wingdings" w:hint="default"/>
      </w:rPr>
    </w:lvl>
    <w:lvl w:ilvl="3" w:tplc="0C0A0001" w:tentative="1">
      <w:start w:val="1"/>
      <w:numFmt w:val="bullet"/>
      <w:lvlText w:val=""/>
      <w:lvlJc w:val="left"/>
      <w:pPr>
        <w:ind w:left="2638" w:hanging="360"/>
      </w:pPr>
      <w:rPr>
        <w:rFonts w:ascii="Symbol" w:hAnsi="Symbol" w:hint="default"/>
      </w:rPr>
    </w:lvl>
    <w:lvl w:ilvl="4" w:tplc="0C0A0003" w:tentative="1">
      <w:start w:val="1"/>
      <w:numFmt w:val="bullet"/>
      <w:lvlText w:val="o"/>
      <w:lvlJc w:val="left"/>
      <w:pPr>
        <w:ind w:left="3358" w:hanging="360"/>
      </w:pPr>
      <w:rPr>
        <w:rFonts w:ascii="Courier New" w:hAnsi="Courier New" w:cs="Courier New" w:hint="default"/>
      </w:rPr>
    </w:lvl>
    <w:lvl w:ilvl="5" w:tplc="0C0A0005" w:tentative="1">
      <w:start w:val="1"/>
      <w:numFmt w:val="bullet"/>
      <w:lvlText w:val=""/>
      <w:lvlJc w:val="left"/>
      <w:pPr>
        <w:ind w:left="4078" w:hanging="360"/>
      </w:pPr>
      <w:rPr>
        <w:rFonts w:ascii="Wingdings" w:hAnsi="Wingdings" w:hint="default"/>
      </w:rPr>
    </w:lvl>
    <w:lvl w:ilvl="6" w:tplc="0C0A0001" w:tentative="1">
      <w:start w:val="1"/>
      <w:numFmt w:val="bullet"/>
      <w:lvlText w:val=""/>
      <w:lvlJc w:val="left"/>
      <w:pPr>
        <w:ind w:left="4798" w:hanging="360"/>
      </w:pPr>
      <w:rPr>
        <w:rFonts w:ascii="Symbol" w:hAnsi="Symbol" w:hint="default"/>
      </w:rPr>
    </w:lvl>
    <w:lvl w:ilvl="7" w:tplc="0C0A0003" w:tentative="1">
      <w:start w:val="1"/>
      <w:numFmt w:val="bullet"/>
      <w:lvlText w:val="o"/>
      <w:lvlJc w:val="left"/>
      <w:pPr>
        <w:ind w:left="5518" w:hanging="360"/>
      </w:pPr>
      <w:rPr>
        <w:rFonts w:ascii="Courier New" w:hAnsi="Courier New" w:cs="Courier New" w:hint="default"/>
      </w:rPr>
    </w:lvl>
    <w:lvl w:ilvl="8" w:tplc="0C0A0005" w:tentative="1">
      <w:start w:val="1"/>
      <w:numFmt w:val="bullet"/>
      <w:lvlText w:val=""/>
      <w:lvlJc w:val="left"/>
      <w:pPr>
        <w:ind w:left="6238" w:hanging="360"/>
      </w:pPr>
      <w:rPr>
        <w:rFonts w:ascii="Wingdings" w:hAnsi="Wingdings" w:hint="default"/>
      </w:rPr>
    </w:lvl>
  </w:abstractNum>
  <w:abstractNum w:abstractNumId="2" w15:restartNumberingAfterBreak="0">
    <w:nsid w:val="38E91202"/>
    <w:multiLevelType w:val="hybridMultilevel"/>
    <w:tmpl w:val="F2D809F2"/>
    <w:lvl w:ilvl="0" w:tplc="4016D6B2">
      <w:start w:val="2"/>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389035580">
    <w:abstractNumId w:val="6"/>
  </w:num>
  <w:num w:numId="2" w16cid:durableId="1822696194">
    <w:abstractNumId w:val="8"/>
  </w:num>
  <w:num w:numId="3" w16cid:durableId="667439541">
    <w:abstractNumId w:val="4"/>
  </w:num>
  <w:num w:numId="4" w16cid:durableId="1493370817">
    <w:abstractNumId w:val="5"/>
  </w:num>
  <w:num w:numId="5" w16cid:durableId="1642802923">
    <w:abstractNumId w:val="5"/>
    <w:lvlOverride w:ilvl="0">
      <w:startOverride w:val="1"/>
    </w:lvlOverride>
    <w:lvlOverride w:ilvl="1"/>
    <w:lvlOverride w:ilvl="2"/>
    <w:lvlOverride w:ilvl="3"/>
    <w:lvlOverride w:ilvl="4"/>
    <w:lvlOverride w:ilvl="5"/>
    <w:lvlOverride w:ilvl="6"/>
    <w:lvlOverride w:ilvl="7"/>
    <w:lvlOverride w:ilvl="8"/>
  </w:num>
  <w:num w:numId="6" w16cid:durableId="1101804847">
    <w:abstractNumId w:val="3"/>
  </w:num>
  <w:num w:numId="7" w16cid:durableId="1820144848">
    <w:abstractNumId w:val="7"/>
  </w:num>
  <w:num w:numId="8" w16cid:durableId="498228584">
    <w:abstractNumId w:val="0"/>
  </w:num>
  <w:num w:numId="9" w16cid:durableId="1803422527">
    <w:abstractNumId w:val="2"/>
  </w:num>
  <w:num w:numId="10" w16cid:durableId="197475439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D8"/>
    <w:rsid w:val="0000168D"/>
    <w:rsid w:val="00011BC0"/>
    <w:rsid w:val="000156BD"/>
    <w:rsid w:val="000174D8"/>
    <w:rsid w:val="000228A0"/>
    <w:rsid w:val="00022C85"/>
    <w:rsid w:val="00024E69"/>
    <w:rsid w:val="00032A66"/>
    <w:rsid w:val="000346E6"/>
    <w:rsid w:val="00035A8D"/>
    <w:rsid w:val="0004092C"/>
    <w:rsid w:val="00041871"/>
    <w:rsid w:val="000434DE"/>
    <w:rsid w:val="00044678"/>
    <w:rsid w:val="00050318"/>
    <w:rsid w:val="0005183C"/>
    <w:rsid w:val="000626DC"/>
    <w:rsid w:val="00067038"/>
    <w:rsid w:val="000671D2"/>
    <w:rsid w:val="00071E54"/>
    <w:rsid w:val="00074042"/>
    <w:rsid w:val="00074BD6"/>
    <w:rsid w:val="000757B9"/>
    <w:rsid w:val="00080013"/>
    <w:rsid w:val="000807B9"/>
    <w:rsid w:val="000826A3"/>
    <w:rsid w:val="00085B8C"/>
    <w:rsid w:val="00093569"/>
    <w:rsid w:val="0009358A"/>
    <w:rsid w:val="000A08AE"/>
    <w:rsid w:val="000A1839"/>
    <w:rsid w:val="000A5B6B"/>
    <w:rsid w:val="000B3808"/>
    <w:rsid w:val="000C0903"/>
    <w:rsid w:val="000D0B64"/>
    <w:rsid w:val="000D0C9B"/>
    <w:rsid w:val="000D3FED"/>
    <w:rsid w:val="000D44B5"/>
    <w:rsid w:val="000D7151"/>
    <w:rsid w:val="000E2531"/>
    <w:rsid w:val="000F742B"/>
    <w:rsid w:val="000F7D9C"/>
    <w:rsid w:val="001040B0"/>
    <w:rsid w:val="00104DD7"/>
    <w:rsid w:val="001064D6"/>
    <w:rsid w:val="001107B7"/>
    <w:rsid w:val="00111930"/>
    <w:rsid w:val="00112DDC"/>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16D3"/>
    <w:rsid w:val="00172257"/>
    <w:rsid w:val="00173954"/>
    <w:rsid w:val="00175C13"/>
    <w:rsid w:val="00176B26"/>
    <w:rsid w:val="00176C38"/>
    <w:rsid w:val="001775F1"/>
    <w:rsid w:val="00180BE9"/>
    <w:rsid w:val="001827BA"/>
    <w:rsid w:val="00185628"/>
    <w:rsid w:val="00191295"/>
    <w:rsid w:val="001A36BD"/>
    <w:rsid w:val="001B1CD8"/>
    <w:rsid w:val="001B2A8F"/>
    <w:rsid w:val="001B5A94"/>
    <w:rsid w:val="001C1676"/>
    <w:rsid w:val="001C30BD"/>
    <w:rsid w:val="001C3111"/>
    <w:rsid w:val="001C3D57"/>
    <w:rsid w:val="001C4FE3"/>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2CD7"/>
    <w:rsid w:val="00254056"/>
    <w:rsid w:val="00255F2C"/>
    <w:rsid w:val="00265F57"/>
    <w:rsid w:val="002677C3"/>
    <w:rsid w:val="00271FB8"/>
    <w:rsid w:val="00282974"/>
    <w:rsid w:val="00283D51"/>
    <w:rsid w:val="00286057"/>
    <w:rsid w:val="00290D46"/>
    <w:rsid w:val="002912B7"/>
    <w:rsid w:val="0029664F"/>
    <w:rsid w:val="002A6D7F"/>
    <w:rsid w:val="002A6E7F"/>
    <w:rsid w:val="002B02DC"/>
    <w:rsid w:val="002B1386"/>
    <w:rsid w:val="002C0455"/>
    <w:rsid w:val="002C33F4"/>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512E"/>
    <w:rsid w:val="003168F0"/>
    <w:rsid w:val="00321058"/>
    <w:rsid w:val="00323C76"/>
    <w:rsid w:val="00325264"/>
    <w:rsid w:val="0032674A"/>
    <w:rsid w:val="00335041"/>
    <w:rsid w:val="00342CF5"/>
    <w:rsid w:val="00344ECD"/>
    <w:rsid w:val="00346FA2"/>
    <w:rsid w:val="003500EE"/>
    <w:rsid w:val="00350D5D"/>
    <w:rsid w:val="0035379F"/>
    <w:rsid w:val="00353B88"/>
    <w:rsid w:val="003679FE"/>
    <w:rsid w:val="00367CF2"/>
    <w:rsid w:val="00373B15"/>
    <w:rsid w:val="00374D1B"/>
    <w:rsid w:val="00375F6B"/>
    <w:rsid w:val="00391AD5"/>
    <w:rsid w:val="00392C89"/>
    <w:rsid w:val="00397568"/>
    <w:rsid w:val="003A28E8"/>
    <w:rsid w:val="003A3C09"/>
    <w:rsid w:val="003B0A6B"/>
    <w:rsid w:val="003B3DC8"/>
    <w:rsid w:val="003B7FDE"/>
    <w:rsid w:val="003C0365"/>
    <w:rsid w:val="003C23BF"/>
    <w:rsid w:val="003C29AC"/>
    <w:rsid w:val="003C4F4D"/>
    <w:rsid w:val="003C7B4D"/>
    <w:rsid w:val="003D34C5"/>
    <w:rsid w:val="003D3527"/>
    <w:rsid w:val="003D4CF1"/>
    <w:rsid w:val="003D5553"/>
    <w:rsid w:val="003D61AB"/>
    <w:rsid w:val="003E33A5"/>
    <w:rsid w:val="003E358F"/>
    <w:rsid w:val="003E5D5C"/>
    <w:rsid w:val="003E7706"/>
    <w:rsid w:val="004038B9"/>
    <w:rsid w:val="00405452"/>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86274"/>
    <w:rsid w:val="0049098C"/>
    <w:rsid w:val="004919AA"/>
    <w:rsid w:val="00494A24"/>
    <w:rsid w:val="004A0FE1"/>
    <w:rsid w:val="004B2B6F"/>
    <w:rsid w:val="004B3334"/>
    <w:rsid w:val="004B35AD"/>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20C4"/>
    <w:rsid w:val="00525617"/>
    <w:rsid w:val="00530A13"/>
    <w:rsid w:val="005349DC"/>
    <w:rsid w:val="005363F1"/>
    <w:rsid w:val="00536BB3"/>
    <w:rsid w:val="00537B93"/>
    <w:rsid w:val="00542844"/>
    <w:rsid w:val="00544E0C"/>
    <w:rsid w:val="00551B38"/>
    <w:rsid w:val="0055738A"/>
    <w:rsid w:val="00557F04"/>
    <w:rsid w:val="00561C07"/>
    <w:rsid w:val="0056247A"/>
    <w:rsid w:val="00572556"/>
    <w:rsid w:val="00574747"/>
    <w:rsid w:val="005749D9"/>
    <w:rsid w:val="0057659A"/>
    <w:rsid w:val="0057784A"/>
    <w:rsid w:val="00586905"/>
    <w:rsid w:val="005928B3"/>
    <w:rsid w:val="00592F13"/>
    <w:rsid w:val="005931AD"/>
    <w:rsid w:val="00593655"/>
    <w:rsid w:val="00596F64"/>
    <w:rsid w:val="005A28C4"/>
    <w:rsid w:val="005B112E"/>
    <w:rsid w:val="005B36F8"/>
    <w:rsid w:val="005B7A1F"/>
    <w:rsid w:val="005C00BA"/>
    <w:rsid w:val="005C226F"/>
    <w:rsid w:val="005C253B"/>
    <w:rsid w:val="005D3037"/>
    <w:rsid w:val="005D4C64"/>
    <w:rsid w:val="005E0854"/>
    <w:rsid w:val="005E1130"/>
    <w:rsid w:val="005F0346"/>
    <w:rsid w:val="005F0803"/>
    <w:rsid w:val="005F4027"/>
    <w:rsid w:val="005F6720"/>
    <w:rsid w:val="006015A5"/>
    <w:rsid w:val="006015AA"/>
    <w:rsid w:val="006026D8"/>
    <w:rsid w:val="00606501"/>
    <w:rsid w:val="006109C0"/>
    <w:rsid w:val="00613247"/>
    <w:rsid w:val="0061723A"/>
    <w:rsid w:val="006224D6"/>
    <w:rsid w:val="006234A8"/>
    <w:rsid w:val="0063244E"/>
    <w:rsid w:val="00632AEC"/>
    <w:rsid w:val="00633076"/>
    <w:rsid w:val="00637811"/>
    <w:rsid w:val="00637B0B"/>
    <w:rsid w:val="00640ECC"/>
    <w:rsid w:val="006417B1"/>
    <w:rsid w:val="00645CA9"/>
    <w:rsid w:val="006470FE"/>
    <w:rsid w:val="0064781B"/>
    <w:rsid w:val="006514EB"/>
    <w:rsid w:val="0065186D"/>
    <w:rsid w:val="00660979"/>
    <w:rsid w:val="006616AF"/>
    <w:rsid w:val="00663B0A"/>
    <w:rsid w:val="00665CFB"/>
    <w:rsid w:val="00670C2D"/>
    <w:rsid w:val="00671146"/>
    <w:rsid w:val="00671BE4"/>
    <w:rsid w:val="00681A30"/>
    <w:rsid w:val="00684375"/>
    <w:rsid w:val="0069211A"/>
    <w:rsid w:val="006A59A9"/>
    <w:rsid w:val="006B05CC"/>
    <w:rsid w:val="006B2CFD"/>
    <w:rsid w:val="006C42CC"/>
    <w:rsid w:val="006D53EC"/>
    <w:rsid w:val="006E2575"/>
    <w:rsid w:val="006E2DB6"/>
    <w:rsid w:val="006E4E11"/>
    <w:rsid w:val="006E6AD3"/>
    <w:rsid w:val="006F1C58"/>
    <w:rsid w:val="006F3E16"/>
    <w:rsid w:val="006F5EB7"/>
    <w:rsid w:val="006F5F11"/>
    <w:rsid w:val="006F7255"/>
    <w:rsid w:val="00700B8B"/>
    <w:rsid w:val="00702A01"/>
    <w:rsid w:val="0070321F"/>
    <w:rsid w:val="00703B40"/>
    <w:rsid w:val="00703E9B"/>
    <w:rsid w:val="00704D16"/>
    <w:rsid w:val="00705E19"/>
    <w:rsid w:val="00706C4B"/>
    <w:rsid w:val="00710A7C"/>
    <w:rsid w:val="00713AB8"/>
    <w:rsid w:val="0071671A"/>
    <w:rsid w:val="00716DCE"/>
    <w:rsid w:val="00716E6A"/>
    <w:rsid w:val="0072140C"/>
    <w:rsid w:val="00725CA2"/>
    <w:rsid w:val="007348D5"/>
    <w:rsid w:val="007369CB"/>
    <w:rsid w:val="00741056"/>
    <w:rsid w:val="00744EFF"/>
    <w:rsid w:val="007529D8"/>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2378"/>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35A1"/>
    <w:rsid w:val="00824B34"/>
    <w:rsid w:val="00826BFF"/>
    <w:rsid w:val="008304AB"/>
    <w:rsid w:val="00830D3D"/>
    <w:rsid w:val="00834B0D"/>
    <w:rsid w:val="00835EF7"/>
    <w:rsid w:val="00836526"/>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790B"/>
    <w:rsid w:val="008A0C37"/>
    <w:rsid w:val="008B1197"/>
    <w:rsid w:val="008B5748"/>
    <w:rsid w:val="008B71E0"/>
    <w:rsid w:val="008C0896"/>
    <w:rsid w:val="008E5FAB"/>
    <w:rsid w:val="008E6A1D"/>
    <w:rsid w:val="009003C8"/>
    <w:rsid w:val="00900A93"/>
    <w:rsid w:val="0090540E"/>
    <w:rsid w:val="00905A9A"/>
    <w:rsid w:val="00910686"/>
    <w:rsid w:val="00911D96"/>
    <w:rsid w:val="00912429"/>
    <w:rsid w:val="00913560"/>
    <w:rsid w:val="00913D05"/>
    <w:rsid w:val="00921E2B"/>
    <w:rsid w:val="009252C7"/>
    <w:rsid w:val="00926462"/>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12A"/>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11B19"/>
    <w:rsid w:val="00A143D0"/>
    <w:rsid w:val="00A153D1"/>
    <w:rsid w:val="00A27A4C"/>
    <w:rsid w:val="00A301A4"/>
    <w:rsid w:val="00A34D21"/>
    <w:rsid w:val="00A40058"/>
    <w:rsid w:val="00A409AF"/>
    <w:rsid w:val="00A532A1"/>
    <w:rsid w:val="00A55AB5"/>
    <w:rsid w:val="00A600D8"/>
    <w:rsid w:val="00A60339"/>
    <w:rsid w:val="00A7089E"/>
    <w:rsid w:val="00A7248E"/>
    <w:rsid w:val="00A733F2"/>
    <w:rsid w:val="00A7625F"/>
    <w:rsid w:val="00A80FF6"/>
    <w:rsid w:val="00A810C5"/>
    <w:rsid w:val="00A8305C"/>
    <w:rsid w:val="00A87D18"/>
    <w:rsid w:val="00A91DF6"/>
    <w:rsid w:val="00A94594"/>
    <w:rsid w:val="00A95F30"/>
    <w:rsid w:val="00AB0B94"/>
    <w:rsid w:val="00AB4AFD"/>
    <w:rsid w:val="00AC4752"/>
    <w:rsid w:val="00AD03E4"/>
    <w:rsid w:val="00AD2A09"/>
    <w:rsid w:val="00AD7083"/>
    <w:rsid w:val="00AE0314"/>
    <w:rsid w:val="00AE1A34"/>
    <w:rsid w:val="00AE1A3E"/>
    <w:rsid w:val="00AE1F8C"/>
    <w:rsid w:val="00AE70E1"/>
    <w:rsid w:val="00AF4C0D"/>
    <w:rsid w:val="00AF7562"/>
    <w:rsid w:val="00B017F5"/>
    <w:rsid w:val="00B03F18"/>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1D16"/>
    <w:rsid w:val="00B73192"/>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589E"/>
    <w:rsid w:val="00C66CB2"/>
    <w:rsid w:val="00C704D1"/>
    <w:rsid w:val="00C73826"/>
    <w:rsid w:val="00C74DBF"/>
    <w:rsid w:val="00C7545B"/>
    <w:rsid w:val="00C77F75"/>
    <w:rsid w:val="00C81637"/>
    <w:rsid w:val="00C830A2"/>
    <w:rsid w:val="00C85298"/>
    <w:rsid w:val="00C9075E"/>
    <w:rsid w:val="00C90EC5"/>
    <w:rsid w:val="00C96CE8"/>
    <w:rsid w:val="00CA100A"/>
    <w:rsid w:val="00CA4A06"/>
    <w:rsid w:val="00CA6958"/>
    <w:rsid w:val="00CA79CD"/>
    <w:rsid w:val="00CB0E26"/>
    <w:rsid w:val="00CB4028"/>
    <w:rsid w:val="00CB60A7"/>
    <w:rsid w:val="00CB755F"/>
    <w:rsid w:val="00CC056C"/>
    <w:rsid w:val="00CC4D04"/>
    <w:rsid w:val="00CC4E40"/>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5411"/>
    <w:rsid w:val="00D46432"/>
    <w:rsid w:val="00D47A2E"/>
    <w:rsid w:val="00D51C53"/>
    <w:rsid w:val="00D53186"/>
    <w:rsid w:val="00D6073E"/>
    <w:rsid w:val="00D63C4F"/>
    <w:rsid w:val="00D670F8"/>
    <w:rsid w:val="00D6774E"/>
    <w:rsid w:val="00D7340D"/>
    <w:rsid w:val="00D75AF9"/>
    <w:rsid w:val="00D82217"/>
    <w:rsid w:val="00D8542C"/>
    <w:rsid w:val="00D85A1F"/>
    <w:rsid w:val="00D92F67"/>
    <w:rsid w:val="00D9307C"/>
    <w:rsid w:val="00D96CA3"/>
    <w:rsid w:val="00DB0F0F"/>
    <w:rsid w:val="00DB12AD"/>
    <w:rsid w:val="00DB7130"/>
    <w:rsid w:val="00DC3D1C"/>
    <w:rsid w:val="00DC6C53"/>
    <w:rsid w:val="00DD08C9"/>
    <w:rsid w:val="00DD096E"/>
    <w:rsid w:val="00DD161F"/>
    <w:rsid w:val="00DD5CBF"/>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47F90"/>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5ED4"/>
    <w:rsid w:val="00F1725F"/>
    <w:rsid w:val="00F209D1"/>
    <w:rsid w:val="00F21A13"/>
    <w:rsid w:val="00F22845"/>
    <w:rsid w:val="00F23BF8"/>
    <w:rsid w:val="00F33AE7"/>
    <w:rsid w:val="00F379DB"/>
    <w:rsid w:val="00F413F8"/>
    <w:rsid w:val="00F4642C"/>
    <w:rsid w:val="00F61429"/>
    <w:rsid w:val="00F62A32"/>
    <w:rsid w:val="00F63C1D"/>
    <w:rsid w:val="00F657FA"/>
    <w:rsid w:val="00F71D62"/>
    <w:rsid w:val="00F7293E"/>
    <w:rsid w:val="00F74B9F"/>
    <w:rsid w:val="00F83056"/>
    <w:rsid w:val="00F84231"/>
    <w:rsid w:val="00F84604"/>
    <w:rsid w:val="00F84758"/>
    <w:rsid w:val="00F90638"/>
    <w:rsid w:val="00F93F09"/>
    <w:rsid w:val="00F96D45"/>
    <w:rsid w:val="00FA261E"/>
    <w:rsid w:val="00FA30A3"/>
    <w:rsid w:val="00FA4A7A"/>
    <w:rsid w:val="00FA57AB"/>
    <w:rsid w:val="00FC0BA4"/>
    <w:rsid w:val="00FC1164"/>
    <w:rsid w:val="00FC1B0C"/>
    <w:rsid w:val="00FC29AB"/>
    <w:rsid w:val="00FC6612"/>
    <w:rsid w:val="00FD00C7"/>
    <w:rsid w:val="00FD20E0"/>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7DD7C1"/>
  <w15:docId w15:val="{D039D603-61A7-4E53-8116-BB44AB49C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aliases w:val="Lista 123,Number List 1"/>
    <w:basedOn w:val="Normal"/>
    <w:link w:val="PrrafodelistaCar"/>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character" w:customStyle="1" w:styleId="PrrafodelistaCar">
    <w:name w:val="Párrafo de lista Car"/>
    <w:aliases w:val="Lista 123 Car,Number List 1 Car"/>
    <w:basedOn w:val="Fuentedeprrafopredeter"/>
    <w:link w:val="Prrafodelista"/>
    <w:uiPriority w:val="99"/>
    <w:locked/>
    <w:rsid w:val="0061324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06B24-E215-4CCB-B2C3-A97810496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4429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5201</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Cañete Mora, Francisco José</cp:lastModifiedBy>
  <cp:revision>2</cp:revision>
  <dcterms:created xsi:type="dcterms:W3CDTF">2025-02-06T09:07:00Z</dcterms:created>
  <dcterms:modified xsi:type="dcterms:W3CDTF">2025-02-07T07:17:00Z</dcterms:modified>
</cp:coreProperties>
</file>