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909F0" w14:textId="48D92404" w:rsidR="00504A4B" w:rsidRPr="002021F3" w:rsidRDefault="00965E8B" w:rsidP="00504A4B">
      <w:pPr>
        <w:spacing w:before="240" w:line="276" w:lineRule="auto"/>
        <w:rPr>
          <w:rFonts w:asciiTheme="majorBidi" w:hAnsiTheme="majorBidi" w:cstheme="majorBidi"/>
          <w:szCs w:val="24"/>
        </w:rPr>
      </w:pPr>
      <w:r>
        <w:rPr>
          <w:rFonts w:asciiTheme="majorBidi" w:hAnsiTheme="majorBidi" w:cstheme="majorBidi"/>
          <w:b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4D4793CE" wp14:editId="5241A5F0">
            <wp:simplePos x="0" y="0"/>
            <wp:positionH relativeFrom="margin">
              <wp:align>right</wp:align>
            </wp:positionH>
            <wp:positionV relativeFrom="paragraph">
              <wp:posOffset>-896620</wp:posOffset>
            </wp:positionV>
            <wp:extent cx="1463040" cy="858805"/>
            <wp:effectExtent l="0" t="0" r="3810" b="0"/>
            <wp:wrapNone/>
            <wp:docPr id="2097745431" name="Imagen 1" descr="Gráfico, Gráfico circular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745431" name="Imagen 1" descr="Gráfico, Gráfico circular&#10;&#10;Descripción generada automá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858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4A4B" w:rsidRPr="002021F3">
        <w:rPr>
          <w:rFonts w:asciiTheme="majorBidi" w:hAnsiTheme="majorBidi" w:cstheme="majorBidi"/>
          <w:b/>
          <w:szCs w:val="24"/>
        </w:rPr>
        <w:t xml:space="preserve">PLIEGO DE </w:t>
      </w:r>
      <w:r w:rsidR="00504A4B">
        <w:rPr>
          <w:rFonts w:asciiTheme="majorBidi" w:hAnsiTheme="majorBidi" w:cstheme="majorBidi"/>
          <w:b/>
          <w:szCs w:val="24"/>
        </w:rPr>
        <w:t>CONDICIONES</w:t>
      </w:r>
      <w:r w:rsidR="00504A4B" w:rsidRPr="002021F3">
        <w:rPr>
          <w:rFonts w:asciiTheme="majorBidi" w:hAnsiTheme="majorBidi" w:cstheme="majorBidi"/>
          <w:b/>
          <w:szCs w:val="24"/>
        </w:rPr>
        <w:t xml:space="preserve"> TÉCNICAS QUE HA DE REGIR </w:t>
      </w:r>
      <w:r w:rsidR="006A7E82">
        <w:rPr>
          <w:rFonts w:asciiTheme="majorBidi" w:hAnsiTheme="majorBidi" w:cstheme="majorBidi"/>
          <w:b/>
          <w:szCs w:val="24"/>
        </w:rPr>
        <w:t xml:space="preserve">LA CONTRATACIÓN </w:t>
      </w:r>
      <w:r w:rsidR="006A7E82">
        <w:rPr>
          <w:b/>
          <w:bCs/>
        </w:rPr>
        <w:t xml:space="preserve">DEL </w:t>
      </w:r>
      <w:r w:rsidR="006A7E82" w:rsidRPr="00910434">
        <w:rPr>
          <w:b/>
          <w:bCs/>
        </w:rPr>
        <w:t xml:space="preserve">SUMINISTRO DE ENERGÍA ELÉCTRICA </w:t>
      </w:r>
      <w:r w:rsidR="006A7E82">
        <w:rPr>
          <w:b/>
          <w:bCs/>
        </w:rPr>
        <w:t>DEL</w:t>
      </w:r>
      <w:r w:rsidR="006A7E82" w:rsidRPr="00910434">
        <w:rPr>
          <w:b/>
          <w:bCs/>
        </w:rPr>
        <w:t xml:space="preserve"> EDIFICIO DE LA FUNDACIÓN UNIVERSITARIA</w:t>
      </w:r>
      <w:r w:rsidR="006A7E82">
        <w:rPr>
          <w:b/>
          <w:bCs/>
        </w:rPr>
        <w:t xml:space="preserve"> FRAY</w:t>
      </w:r>
      <w:r w:rsidR="006A7E82" w:rsidRPr="00910434">
        <w:rPr>
          <w:b/>
          <w:bCs/>
        </w:rPr>
        <w:t xml:space="preserve"> FRANCISCO JIMÉNEZ CISNEROS SITO EN LA CALLE GENERAL DÍAZ PORLIER </w:t>
      </w:r>
      <w:proofErr w:type="spellStart"/>
      <w:r w:rsidR="006A7E82" w:rsidRPr="00910434">
        <w:rPr>
          <w:b/>
          <w:bCs/>
        </w:rPr>
        <w:t>Nº</w:t>
      </w:r>
      <w:proofErr w:type="spellEnd"/>
      <w:r w:rsidR="006A7E82" w:rsidRPr="00910434">
        <w:rPr>
          <w:b/>
          <w:bCs/>
        </w:rPr>
        <w:t xml:space="preserve"> 58 DE MADRID.  </w:t>
      </w:r>
      <w:r w:rsidR="00504A4B" w:rsidRPr="002021F3">
        <w:rPr>
          <w:rFonts w:asciiTheme="majorBidi" w:hAnsiTheme="majorBidi" w:cstheme="majorBidi"/>
          <w:b/>
          <w:szCs w:val="24"/>
        </w:rPr>
        <w:t xml:space="preserve"> </w:t>
      </w:r>
    </w:p>
    <w:p w14:paraId="66E7F834" w14:textId="4817CDF3" w:rsidR="00504A4B" w:rsidRDefault="00D41E8D" w:rsidP="00504A4B">
      <w:pPr>
        <w:rPr>
          <w:b/>
          <w:bCs/>
        </w:rPr>
      </w:pPr>
      <w:r w:rsidRPr="00965E8B">
        <w:rPr>
          <w:b/>
          <w:bCs/>
        </w:rPr>
        <w:t xml:space="preserve">Expediente: </w:t>
      </w:r>
      <w:r w:rsidR="00965E8B" w:rsidRPr="00965E8B">
        <w:rPr>
          <w:b/>
          <w:bCs/>
        </w:rPr>
        <w:t>0</w:t>
      </w:r>
      <w:r w:rsidR="00A465D8">
        <w:rPr>
          <w:b/>
          <w:bCs/>
        </w:rPr>
        <w:t>14</w:t>
      </w:r>
      <w:r w:rsidR="00965E8B" w:rsidRPr="00965E8B">
        <w:rPr>
          <w:b/>
          <w:bCs/>
        </w:rPr>
        <w:t>/2</w:t>
      </w:r>
      <w:r w:rsidR="00A465D8">
        <w:rPr>
          <w:b/>
          <w:bCs/>
        </w:rPr>
        <w:t>5</w:t>
      </w:r>
    </w:p>
    <w:p w14:paraId="3A8A88FE" w14:textId="6439D9B0" w:rsidR="00504A4B" w:rsidRPr="002021F3" w:rsidRDefault="00504A4B" w:rsidP="00504A4B">
      <w:pPr>
        <w:spacing w:before="240" w:line="276" w:lineRule="auto"/>
        <w:rPr>
          <w:rFonts w:asciiTheme="majorBidi" w:hAnsiTheme="majorBidi" w:cstheme="majorBidi"/>
          <w:b/>
          <w:szCs w:val="24"/>
        </w:rPr>
      </w:pPr>
      <w:r>
        <w:rPr>
          <w:rFonts w:asciiTheme="majorBidi" w:hAnsiTheme="majorBidi" w:cstheme="majorBidi"/>
          <w:b/>
          <w:szCs w:val="24"/>
        </w:rPr>
        <w:t>Cl</w:t>
      </w:r>
      <w:r w:rsidR="0070510D">
        <w:rPr>
          <w:rFonts w:asciiTheme="majorBidi" w:hAnsiTheme="majorBidi" w:cstheme="majorBidi"/>
          <w:b/>
          <w:szCs w:val="24"/>
        </w:rPr>
        <w:t>á</w:t>
      </w:r>
      <w:r>
        <w:rPr>
          <w:rFonts w:asciiTheme="majorBidi" w:hAnsiTheme="majorBidi" w:cstheme="majorBidi"/>
          <w:b/>
          <w:szCs w:val="24"/>
        </w:rPr>
        <w:t>usula 1. Objeto del Contrato.</w:t>
      </w:r>
    </w:p>
    <w:p w14:paraId="69459E65" w14:textId="1830B050" w:rsidR="00504A4B" w:rsidRDefault="00504A4B" w:rsidP="00504A4B">
      <w:pPr>
        <w:spacing w:before="240" w:line="276" w:lineRule="auto"/>
        <w:rPr>
          <w:rFonts w:asciiTheme="majorBidi" w:hAnsiTheme="majorBidi" w:cstheme="majorBidi"/>
          <w:szCs w:val="24"/>
        </w:rPr>
      </w:pPr>
      <w:r w:rsidRPr="002021F3">
        <w:rPr>
          <w:rFonts w:asciiTheme="majorBidi" w:hAnsiTheme="majorBidi" w:cstheme="majorBidi"/>
          <w:szCs w:val="24"/>
        </w:rPr>
        <w:t xml:space="preserve">El objeto </w:t>
      </w:r>
      <w:r>
        <w:rPr>
          <w:rFonts w:asciiTheme="majorBidi" w:hAnsiTheme="majorBidi" w:cstheme="majorBidi"/>
          <w:szCs w:val="24"/>
        </w:rPr>
        <w:t>de</w:t>
      </w:r>
      <w:r w:rsidR="00653550">
        <w:rPr>
          <w:rFonts w:asciiTheme="majorBidi" w:hAnsiTheme="majorBidi" w:cstheme="majorBidi"/>
          <w:szCs w:val="24"/>
        </w:rPr>
        <w:t>l contrato</w:t>
      </w:r>
      <w:r w:rsidRPr="002021F3">
        <w:rPr>
          <w:rFonts w:asciiTheme="majorBidi" w:hAnsiTheme="majorBidi" w:cstheme="majorBidi"/>
          <w:szCs w:val="24"/>
        </w:rPr>
        <w:t xml:space="preserve"> es la contratación del suministro de energía eléctrica del edificio de la Fundación Universitaria Fray Francisco Jiménez de Cisneros, sito en calle General Díaz Porlier 58, 28006 (Madrid).</w:t>
      </w:r>
      <w:r>
        <w:rPr>
          <w:rFonts w:asciiTheme="majorBidi" w:hAnsiTheme="majorBidi" w:cstheme="majorBidi"/>
          <w:szCs w:val="24"/>
        </w:rPr>
        <w:t xml:space="preserve"> </w:t>
      </w:r>
      <w:r w:rsidRPr="002021F3">
        <w:rPr>
          <w:rFonts w:asciiTheme="majorBidi" w:hAnsiTheme="majorBidi" w:cstheme="majorBidi"/>
          <w:szCs w:val="24"/>
        </w:rPr>
        <w:t>Los licitadores ofertarán que una parte de la energía sea generada a partir de fuentes de energía renovables, de acuerdo a lo establecido en el marco normativo y legal vigente para este tipo de energía.</w:t>
      </w:r>
    </w:p>
    <w:p w14:paraId="0BEBA29B" w14:textId="2663CDEE" w:rsidR="00504A4B" w:rsidRDefault="00504A4B" w:rsidP="00504A4B">
      <w:pPr>
        <w:spacing w:line="276" w:lineRule="auto"/>
        <w:rPr>
          <w:rFonts w:asciiTheme="majorBidi" w:hAnsiTheme="majorBidi" w:cstheme="majorBidi"/>
          <w:szCs w:val="24"/>
        </w:rPr>
      </w:pPr>
      <w:r w:rsidRPr="002021F3">
        <w:rPr>
          <w:rFonts w:asciiTheme="majorBidi" w:hAnsiTheme="majorBidi" w:cstheme="majorBidi"/>
          <w:szCs w:val="24"/>
        </w:rPr>
        <w:t xml:space="preserve">En el </w:t>
      </w:r>
      <w:r w:rsidRPr="00504A4B">
        <w:rPr>
          <w:rFonts w:asciiTheme="majorBidi" w:hAnsiTheme="majorBidi" w:cstheme="majorBidi"/>
          <w:b/>
          <w:bCs/>
          <w:szCs w:val="24"/>
          <w:u w:val="single"/>
        </w:rPr>
        <w:t xml:space="preserve">Anexo I </w:t>
      </w:r>
      <w:r w:rsidRPr="002021F3">
        <w:rPr>
          <w:rFonts w:asciiTheme="majorBidi" w:hAnsiTheme="majorBidi" w:cstheme="majorBidi"/>
          <w:szCs w:val="24"/>
        </w:rPr>
        <w:t>se detallan los siguientes datos identificativos:</w:t>
      </w:r>
    </w:p>
    <w:p w14:paraId="5DDFE82B" w14:textId="7AFCDCCF" w:rsidR="00504A4B" w:rsidRDefault="00504A4B" w:rsidP="00504A4B">
      <w:pPr>
        <w:pStyle w:val="Prrafodelista"/>
        <w:numPr>
          <w:ilvl w:val="0"/>
          <w:numId w:val="5"/>
        </w:numPr>
        <w:spacing w:line="276" w:lineRule="auto"/>
        <w:rPr>
          <w:rFonts w:asciiTheme="majorBidi" w:hAnsiTheme="majorBidi" w:cstheme="majorBidi"/>
          <w:szCs w:val="24"/>
        </w:rPr>
      </w:pPr>
      <w:r>
        <w:rPr>
          <w:rFonts w:asciiTheme="majorBidi" w:hAnsiTheme="majorBidi" w:cstheme="majorBidi"/>
          <w:szCs w:val="24"/>
        </w:rPr>
        <w:t>Dirección del suministro</w:t>
      </w:r>
    </w:p>
    <w:p w14:paraId="478A3282" w14:textId="77777777" w:rsidR="00504A4B" w:rsidRPr="00504A4B" w:rsidRDefault="00504A4B" w:rsidP="00504A4B">
      <w:pPr>
        <w:pStyle w:val="Prrafodelista"/>
        <w:numPr>
          <w:ilvl w:val="0"/>
          <w:numId w:val="5"/>
        </w:numPr>
        <w:spacing w:line="276" w:lineRule="auto"/>
        <w:rPr>
          <w:rFonts w:asciiTheme="majorBidi" w:hAnsiTheme="majorBidi" w:cstheme="majorBidi"/>
          <w:szCs w:val="24"/>
        </w:rPr>
      </w:pPr>
      <w:r w:rsidRPr="00504A4B">
        <w:rPr>
          <w:rFonts w:asciiTheme="majorBidi" w:hAnsiTheme="majorBidi" w:cstheme="majorBidi"/>
          <w:szCs w:val="24"/>
        </w:rPr>
        <w:t>Peaje de acceso.</w:t>
      </w:r>
    </w:p>
    <w:p w14:paraId="1BC080AE" w14:textId="77777777" w:rsidR="00504A4B" w:rsidRPr="00504A4B" w:rsidRDefault="00504A4B" w:rsidP="00504A4B">
      <w:pPr>
        <w:pStyle w:val="Prrafodelista"/>
        <w:numPr>
          <w:ilvl w:val="0"/>
          <w:numId w:val="5"/>
        </w:numPr>
        <w:spacing w:line="276" w:lineRule="auto"/>
        <w:rPr>
          <w:rFonts w:asciiTheme="majorBidi" w:hAnsiTheme="majorBidi" w:cstheme="majorBidi"/>
          <w:szCs w:val="24"/>
        </w:rPr>
      </w:pPr>
      <w:r w:rsidRPr="00504A4B">
        <w:rPr>
          <w:rFonts w:asciiTheme="majorBidi" w:hAnsiTheme="majorBidi" w:cstheme="majorBidi"/>
          <w:szCs w:val="24"/>
        </w:rPr>
        <w:t>Potencia contratada.</w:t>
      </w:r>
    </w:p>
    <w:p w14:paraId="43154E1B" w14:textId="77777777" w:rsidR="00504A4B" w:rsidRPr="00504A4B" w:rsidRDefault="00504A4B" w:rsidP="00504A4B">
      <w:pPr>
        <w:pStyle w:val="Prrafodelista"/>
        <w:numPr>
          <w:ilvl w:val="0"/>
          <w:numId w:val="5"/>
        </w:numPr>
        <w:spacing w:line="276" w:lineRule="auto"/>
        <w:rPr>
          <w:rFonts w:asciiTheme="majorBidi" w:hAnsiTheme="majorBidi" w:cstheme="majorBidi"/>
          <w:szCs w:val="24"/>
        </w:rPr>
      </w:pPr>
      <w:r w:rsidRPr="00504A4B">
        <w:rPr>
          <w:rFonts w:asciiTheme="majorBidi" w:hAnsiTheme="majorBidi" w:cstheme="majorBidi"/>
          <w:szCs w:val="24"/>
        </w:rPr>
        <w:t>CUPS: código universal de punto de suministro.</w:t>
      </w:r>
    </w:p>
    <w:p w14:paraId="236232CF" w14:textId="77777777" w:rsidR="00504A4B" w:rsidRPr="00504A4B" w:rsidRDefault="00504A4B" w:rsidP="00504A4B">
      <w:pPr>
        <w:pStyle w:val="Prrafodelista"/>
        <w:numPr>
          <w:ilvl w:val="0"/>
          <w:numId w:val="5"/>
        </w:numPr>
        <w:spacing w:line="276" w:lineRule="auto"/>
        <w:rPr>
          <w:rFonts w:asciiTheme="majorBidi" w:hAnsiTheme="majorBidi" w:cstheme="majorBidi"/>
          <w:szCs w:val="24"/>
        </w:rPr>
      </w:pPr>
      <w:r w:rsidRPr="00504A4B">
        <w:rPr>
          <w:rFonts w:asciiTheme="majorBidi" w:hAnsiTheme="majorBidi" w:cstheme="majorBidi"/>
          <w:szCs w:val="24"/>
        </w:rPr>
        <w:t>Consumos anuales por periodos y total anual</w:t>
      </w:r>
    </w:p>
    <w:p w14:paraId="6237F155" w14:textId="07841771" w:rsidR="00504A4B" w:rsidRDefault="00504A4B" w:rsidP="00504A4B">
      <w:pPr>
        <w:spacing w:before="240" w:line="276" w:lineRule="auto"/>
        <w:rPr>
          <w:rFonts w:asciiTheme="majorBidi" w:hAnsiTheme="majorBidi" w:cstheme="majorBidi"/>
          <w:szCs w:val="24"/>
        </w:rPr>
      </w:pPr>
      <w:r w:rsidRPr="002021F3">
        <w:rPr>
          <w:rFonts w:asciiTheme="majorBidi" w:hAnsiTheme="majorBidi" w:cstheme="majorBidi"/>
          <w:szCs w:val="24"/>
        </w:rPr>
        <w:t xml:space="preserve">En el </w:t>
      </w:r>
      <w:r w:rsidRPr="00504A4B">
        <w:rPr>
          <w:rFonts w:asciiTheme="majorBidi" w:hAnsiTheme="majorBidi" w:cstheme="majorBidi"/>
          <w:b/>
          <w:bCs/>
          <w:szCs w:val="24"/>
          <w:u w:val="single"/>
        </w:rPr>
        <w:t xml:space="preserve">Anexo II </w:t>
      </w:r>
      <w:r w:rsidRPr="002021F3">
        <w:rPr>
          <w:rFonts w:asciiTheme="majorBidi" w:hAnsiTheme="majorBidi" w:cstheme="majorBidi"/>
          <w:szCs w:val="24"/>
        </w:rPr>
        <w:t>se detalla la demanda de energía por mes natural</w:t>
      </w:r>
      <w:r>
        <w:rPr>
          <w:rFonts w:asciiTheme="majorBidi" w:hAnsiTheme="majorBidi" w:cstheme="majorBidi"/>
          <w:szCs w:val="24"/>
        </w:rPr>
        <w:t xml:space="preserve"> que</w:t>
      </w:r>
      <w:r w:rsidRPr="002021F3">
        <w:rPr>
          <w:rFonts w:asciiTheme="majorBidi" w:hAnsiTheme="majorBidi" w:cstheme="majorBidi"/>
          <w:szCs w:val="24"/>
        </w:rPr>
        <w:t xml:space="preserve"> </w:t>
      </w:r>
      <w:r w:rsidR="00653550">
        <w:rPr>
          <w:rFonts w:asciiTheme="majorBidi" w:hAnsiTheme="majorBidi" w:cstheme="majorBidi"/>
          <w:szCs w:val="24"/>
        </w:rPr>
        <w:t xml:space="preserve">ha </w:t>
      </w:r>
      <w:r w:rsidRPr="002021F3">
        <w:rPr>
          <w:rFonts w:asciiTheme="majorBidi" w:hAnsiTheme="majorBidi" w:cstheme="majorBidi"/>
          <w:szCs w:val="24"/>
        </w:rPr>
        <w:t>habido en l</w:t>
      </w:r>
      <w:r w:rsidR="00D41E8D">
        <w:rPr>
          <w:rFonts w:asciiTheme="majorBidi" w:hAnsiTheme="majorBidi" w:cstheme="majorBidi"/>
          <w:szCs w:val="24"/>
        </w:rPr>
        <w:t>os últimos 12 meses del año (</w:t>
      </w:r>
      <w:r w:rsidR="00F57584">
        <w:rPr>
          <w:rFonts w:asciiTheme="majorBidi" w:hAnsiTheme="majorBidi" w:cstheme="majorBidi"/>
          <w:szCs w:val="24"/>
        </w:rPr>
        <w:t>dic</w:t>
      </w:r>
      <w:r w:rsidR="006038D8">
        <w:rPr>
          <w:rFonts w:asciiTheme="majorBidi" w:hAnsiTheme="majorBidi" w:cstheme="majorBidi"/>
          <w:szCs w:val="24"/>
        </w:rPr>
        <w:t>iembre 2022</w:t>
      </w:r>
      <w:r w:rsidR="004E20E7">
        <w:rPr>
          <w:rFonts w:asciiTheme="majorBidi" w:hAnsiTheme="majorBidi" w:cstheme="majorBidi"/>
          <w:szCs w:val="24"/>
        </w:rPr>
        <w:t xml:space="preserve"> a </w:t>
      </w:r>
      <w:r w:rsidR="00F57584">
        <w:rPr>
          <w:rFonts w:asciiTheme="majorBidi" w:hAnsiTheme="majorBidi" w:cstheme="majorBidi"/>
          <w:szCs w:val="24"/>
        </w:rPr>
        <w:t>noviem</w:t>
      </w:r>
      <w:r w:rsidR="006038D8">
        <w:rPr>
          <w:rFonts w:asciiTheme="majorBidi" w:hAnsiTheme="majorBidi" w:cstheme="majorBidi"/>
          <w:szCs w:val="24"/>
        </w:rPr>
        <w:t>bre</w:t>
      </w:r>
      <w:r w:rsidR="00D41E8D">
        <w:rPr>
          <w:rFonts w:asciiTheme="majorBidi" w:hAnsiTheme="majorBidi" w:cstheme="majorBidi"/>
          <w:szCs w:val="24"/>
        </w:rPr>
        <w:t xml:space="preserve"> 202</w:t>
      </w:r>
      <w:r w:rsidR="006038D8">
        <w:rPr>
          <w:rFonts w:asciiTheme="majorBidi" w:hAnsiTheme="majorBidi" w:cstheme="majorBidi"/>
          <w:szCs w:val="24"/>
        </w:rPr>
        <w:t>3</w:t>
      </w:r>
      <w:r w:rsidR="00D41E8D">
        <w:rPr>
          <w:rFonts w:asciiTheme="majorBidi" w:hAnsiTheme="majorBidi" w:cstheme="majorBidi"/>
          <w:szCs w:val="24"/>
        </w:rPr>
        <w:t>)</w:t>
      </w:r>
      <w:r w:rsidRPr="002021F3">
        <w:rPr>
          <w:rFonts w:asciiTheme="majorBidi" w:hAnsiTheme="majorBidi" w:cstheme="majorBidi"/>
          <w:szCs w:val="24"/>
        </w:rPr>
        <w:t xml:space="preserve"> y la demanda acumu</w:t>
      </w:r>
      <w:r w:rsidR="005F143E">
        <w:rPr>
          <w:rFonts w:asciiTheme="majorBidi" w:hAnsiTheme="majorBidi" w:cstheme="majorBidi"/>
          <w:szCs w:val="24"/>
        </w:rPr>
        <w:t>lada de energía por cada per</w:t>
      </w:r>
      <w:r w:rsidR="00653550">
        <w:rPr>
          <w:rFonts w:asciiTheme="majorBidi" w:hAnsiTheme="majorBidi" w:cstheme="majorBidi"/>
          <w:szCs w:val="24"/>
        </w:rPr>
        <w:t>i</w:t>
      </w:r>
      <w:r w:rsidR="005F143E">
        <w:rPr>
          <w:rFonts w:asciiTheme="majorBidi" w:hAnsiTheme="majorBidi" w:cstheme="majorBidi"/>
          <w:szCs w:val="24"/>
        </w:rPr>
        <w:t>odo</w:t>
      </w:r>
      <w:r w:rsidRPr="002021F3">
        <w:rPr>
          <w:rFonts w:asciiTheme="majorBidi" w:hAnsiTheme="majorBidi" w:cstheme="majorBidi"/>
          <w:szCs w:val="24"/>
        </w:rPr>
        <w:t xml:space="preserve"> tarifa</w:t>
      </w:r>
      <w:r w:rsidR="005F143E">
        <w:rPr>
          <w:rFonts w:asciiTheme="majorBidi" w:hAnsiTheme="majorBidi" w:cstheme="majorBidi"/>
          <w:szCs w:val="24"/>
        </w:rPr>
        <w:t>rio</w:t>
      </w:r>
      <w:r w:rsidRPr="002021F3">
        <w:rPr>
          <w:rFonts w:asciiTheme="majorBidi" w:hAnsiTheme="majorBidi" w:cstheme="majorBidi"/>
          <w:szCs w:val="24"/>
        </w:rPr>
        <w:t xml:space="preserve"> y mes. </w:t>
      </w:r>
    </w:p>
    <w:p w14:paraId="2F10543B" w14:textId="2BEBED19" w:rsidR="00504A4B" w:rsidRPr="002021F3" w:rsidRDefault="00504A4B" w:rsidP="00504A4B">
      <w:pPr>
        <w:spacing w:before="240" w:line="276" w:lineRule="auto"/>
        <w:rPr>
          <w:rFonts w:asciiTheme="majorBidi" w:hAnsiTheme="majorBidi" w:cstheme="majorBidi"/>
          <w:b/>
          <w:szCs w:val="24"/>
        </w:rPr>
      </w:pPr>
      <w:r>
        <w:rPr>
          <w:rFonts w:asciiTheme="majorBidi" w:hAnsiTheme="majorBidi" w:cstheme="majorBidi"/>
          <w:b/>
          <w:szCs w:val="24"/>
        </w:rPr>
        <w:t>Cl</w:t>
      </w:r>
      <w:r w:rsidR="0070510D">
        <w:rPr>
          <w:rFonts w:asciiTheme="majorBidi" w:hAnsiTheme="majorBidi" w:cstheme="majorBidi"/>
          <w:b/>
          <w:szCs w:val="24"/>
        </w:rPr>
        <w:t>á</w:t>
      </w:r>
      <w:r>
        <w:rPr>
          <w:rFonts w:asciiTheme="majorBidi" w:hAnsiTheme="majorBidi" w:cstheme="majorBidi"/>
          <w:b/>
          <w:szCs w:val="24"/>
        </w:rPr>
        <w:t>usula 2. Legislación aplicable.</w:t>
      </w:r>
    </w:p>
    <w:p w14:paraId="7BA4E396" w14:textId="580E759E" w:rsidR="00504A4B" w:rsidRPr="002021F3" w:rsidRDefault="00504A4B" w:rsidP="00504A4B">
      <w:pPr>
        <w:spacing w:line="276" w:lineRule="auto"/>
        <w:rPr>
          <w:rFonts w:asciiTheme="majorBidi" w:hAnsiTheme="majorBidi" w:cstheme="majorBidi"/>
          <w:szCs w:val="24"/>
        </w:rPr>
      </w:pPr>
      <w:r>
        <w:rPr>
          <w:rFonts w:asciiTheme="majorBidi" w:hAnsiTheme="majorBidi" w:cstheme="majorBidi"/>
          <w:szCs w:val="24"/>
        </w:rPr>
        <w:t>Los licitadores quedan sujetos al cumplimiento de la normativa que a continuación se detalla:</w:t>
      </w:r>
    </w:p>
    <w:p w14:paraId="7FBBF61D" w14:textId="77777777" w:rsidR="00504A4B" w:rsidRPr="002021F3" w:rsidRDefault="00504A4B" w:rsidP="00504A4B">
      <w:pPr>
        <w:numPr>
          <w:ilvl w:val="0"/>
          <w:numId w:val="6"/>
        </w:numPr>
        <w:tabs>
          <w:tab w:val="clear" w:pos="1428"/>
          <w:tab w:val="num" w:pos="600"/>
        </w:tabs>
        <w:spacing w:line="276" w:lineRule="auto"/>
        <w:rPr>
          <w:rFonts w:asciiTheme="majorBidi" w:hAnsiTheme="majorBidi" w:cstheme="majorBidi"/>
          <w:szCs w:val="24"/>
        </w:rPr>
      </w:pPr>
      <w:r w:rsidRPr="002021F3">
        <w:rPr>
          <w:rFonts w:asciiTheme="majorBidi" w:hAnsiTheme="majorBidi" w:cstheme="majorBidi"/>
          <w:szCs w:val="24"/>
        </w:rPr>
        <w:t>Ley 54/1997, de 27 de noviembre, del Sector Eléctrico, por el que se establece la definición de peaje correspondiente tanto a las redes de transporte como a las de distribución.</w:t>
      </w:r>
    </w:p>
    <w:p w14:paraId="568833B1" w14:textId="77777777" w:rsidR="00504A4B" w:rsidRPr="002021F3" w:rsidRDefault="00504A4B" w:rsidP="00504A4B">
      <w:pPr>
        <w:numPr>
          <w:ilvl w:val="0"/>
          <w:numId w:val="6"/>
        </w:numPr>
        <w:tabs>
          <w:tab w:val="clear" w:pos="1428"/>
          <w:tab w:val="num" w:pos="600"/>
        </w:tabs>
        <w:spacing w:line="276" w:lineRule="auto"/>
        <w:rPr>
          <w:rFonts w:asciiTheme="majorBidi" w:hAnsiTheme="majorBidi" w:cstheme="majorBidi"/>
          <w:szCs w:val="24"/>
        </w:rPr>
      </w:pPr>
      <w:r w:rsidRPr="002021F3">
        <w:rPr>
          <w:rFonts w:asciiTheme="majorBidi" w:hAnsiTheme="majorBidi" w:cstheme="majorBidi"/>
          <w:szCs w:val="24"/>
        </w:rPr>
        <w:t>Real Decreto 2019/1997, de diciembre por el que se organiza y regula el mercado de producción de energía eléctrica.</w:t>
      </w:r>
    </w:p>
    <w:p w14:paraId="4233EC16" w14:textId="77777777" w:rsidR="00504A4B" w:rsidRPr="002021F3" w:rsidRDefault="00504A4B" w:rsidP="00504A4B">
      <w:pPr>
        <w:numPr>
          <w:ilvl w:val="0"/>
          <w:numId w:val="6"/>
        </w:numPr>
        <w:tabs>
          <w:tab w:val="clear" w:pos="1428"/>
          <w:tab w:val="num" w:pos="600"/>
        </w:tabs>
        <w:spacing w:line="276" w:lineRule="auto"/>
        <w:rPr>
          <w:rFonts w:asciiTheme="majorBidi" w:hAnsiTheme="majorBidi" w:cstheme="majorBidi"/>
          <w:szCs w:val="24"/>
        </w:rPr>
      </w:pPr>
      <w:r w:rsidRPr="002021F3">
        <w:rPr>
          <w:rFonts w:asciiTheme="majorBidi" w:hAnsiTheme="majorBidi" w:cstheme="majorBidi"/>
          <w:szCs w:val="24"/>
        </w:rPr>
        <w:t>Orden de 14 de julio de 1998 de 30 de diciembre, sobre procedimientos de contratación en los sectores del agua, la energía, los transportes y las telecomunicaciones, por la que se incorporan el ordenamiento jurídico español las Directivas 93/38/CEE y 92/13/CEE.</w:t>
      </w:r>
    </w:p>
    <w:p w14:paraId="5CF4D937" w14:textId="77777777" w:rsidR="00504A4B" w:rsidRPr="002021F3" w:rsidRDefault="00504A4B" w:rsidP="00504A4B">
      <w:pPr>
        <w:numPr>
          <w:ilvl w:val="0"/>
          <w:numId w:val="6"/>
        </w:numPr>
        <w:tabs>
          <w:tab w:val="clear" w:pos="1428"/>
          <w:tab w:val="num" w:pos="600"/>
        </w:tabs>
        <w:spacing w:line="276" w:lineRule="auto"/>
        <w:rPr>
          <w:rFonts w:asciiTheme="majorBidi" w:hAnsiTheme="majorBidi" w:cstheme="majorBidi"/>
          <w:szCs w:val="24"/>
        </w:rPr>
      </w:pPr>
      <w:r w:rsidRPr="002021F3">
        <w:rPr>
          <w:rFonts w:asciiTheme="majorBidi" w:hAnsiTheme="majorBidi" w:cstheme="majorBidi"/>
          <w:szCs w:val="24"/>
        </w:rPr>
        <w:lastRenderedPageBreak/>
        <w:t>El Real Decreto 1995/2000 de 1 de diciembre, por el que se regulan las actividades de transporte, distribución, comercialización, suministro y procedimientos de autorización de instalaciones de energía eléctrica.</w:t>
      </w:r>
    </w:p>
    <w:p w14:paraId="383DE8ED" w14:textId="77777777" w:rsidR="00504A4B" w:rsidRPr="002021F3" w:rsidRDefault="00504A4B" w:rsidP="00504A4B">
      <w:pPr>
        <w:numPr>
          <w:ilvl w:val="0"/>
          <w:numId w:val="6"/>
        </w:numPr>
        <w:tabs>
          <w:tab w:val="clear" w:pos="1428"/>
          <w:tab w:val="num" w:pos="600"/>
        </w:tabs>
        <w:spacing w:line="276" w:lineRule="auto"/>
        <w:rPr>
          <w:rFonts w:asciiTheme="majorBidi" w:hAnsiTheme="majorBidi" w:cstheme="majorBidi"/>
          <w:szCs w:val="24"/>
        </w:rPr>
      </w:pPr>
      <w:r w:rsidRPr="002021F3">
        <w:rPr>
          <w:rFonts w:asciiTheme="majorBidi" w:hAnsiTheme="majorBidi" w:cstheme="majorBidi"/>
          <w:szCs w:val="24"/>
        </w:rPr>
        <w:t xml:space="preserve">El Real Decreto-Ley 6/2000, de 23 de junio, de medidas urgentes, en el que se establece </w:t>
      </w:r>
      <w:proofErr w:type="gramStart"/>
      <w:r w:rsidRPr="002021F3">
        <w:rPr>
          <w:rFonts w:asciiTheme="majorBidi" w:hAnsiTheme="majorBidi" w:cstheme="majorBidi"/>
          <w:szCs w:val="24"/>
        </w:rPr>
        <w:t>que</w:t>
      </w:r>
      <w:proofErr w:type="gramEnd"/>
      <w:r w:rsidRPr="002021F3">
        <w:rPr>
          <w:rFonts w:asciiTheme="majorBidi" w:hAnsiTheme="majorBidi" w:cstheme="majorBidi"/>
          <w:szCs w:val="24"/>
        </w:rPr>
        <w:t xml:space="preserve"> a partir de 1 de enero de 2003, todos los consumidores de energía eléctrica tendrán la consideración de consumidores cualificados.</w:t>
      </w:r>
    </w:p>
    <w:p w14:paraId="3A1D8CB0" w14:textId="77777777" w:rsidR="00504A4B" w:rsidRDefault="00504A4B" w:rsidP="00504A4B">
      <w:pPr>
        <w:numPr>
          <w:ilvl w:val="0"/>
          <w:numId w:val="6"/>
        </w:numPr>
        <w:tabs>
          <w:tab w:val="clear" w:pos="1428"/>
          <w:tab w:val="num" w:pos="600"/>
        </w:tabs>
        <w:spacing w:line="276" w:lineRule="auto"/>
        <w:rPr>
          <w:rFonts w:asciiTheme="majorBidi" w:hAnsiTheme="majorBidi" w:cstheme="majorBidi"/>
          <w:szCs w:val="24"/>
        </w:rPr>
      </w:pPr>
      <w:r w:rsidRPr="002021F3">
        <w:rPr>
          <w:rFonts w:asciiTheme="majorBidi" w:hAnsiTheme="majorBidi" w:cstheme="majorBidi"/>
          <w:szCs w:val="24"/>
        </w:rPr>
        <w:t>El Real Decreto 1164/2001, de 26 de octubre, por el que se establece una estructura simple, para facilitar la aplicación de las tarifas de acceso y, por tanto, la posibilidad de ejercer la condición de cualificados a los nuevos clientes de alta tensión cuyo consumo anual es inferior a 1GWh y que se incorporaron a partir del 1 de julio del 2000.</w:t>
      </w:r>
    </w:p>
    <w:p w14:paraId="16EA3A5A" w14:textId="77777777" w:rsidR="00C236C4" w:rsidRDefault="00C236C4" w:rsidP="00C236C4">
      <w:pPr>
        <w:numPr>
          <w:ilvl w:val="0"/>
          <w:numId w:val="6"/>
        </w:numPr>
        <w:tabs>
          <w:tab w:val="clear" w:pos="1428"/>
          <w:tab w:val="num" w:pos="600"/>
        </w:tabs>
        <w:spacing w:line="276" w:lineRule="auto"/>
        <w:rPr>
          <w:rFonts w:asciiTheme="majorBidi" w:hAnsiTheme="majorBidi" w:cstheme="majorBidi"/>
          <w:szCs w:val="24"/>
        </w:rPr>
      </w:pPr>
      <w:r w:rsidRPr="002021F3">
        <w:rPr>
          <w:rFonts w:asciiTheme="majorBidi" w:hAnsiTheme="majorBidi" w:cstheme="majorBidi"/>
          <w:szCs w:val="24"/>
        </w:rPr>
        <w:t>Directivas 2001/77/CE y 2004/08/CE del Parlamento Europeo y del Consejo relativas a la promoción de la electricidad generada a partir de energías renovables.</w:t>
      </w:r>
    </w:p>
    <w:p w14:paraId="1AAB0572" w14:textId="77777777" w:rsidR="00504A4B" w:rsidRDefault="00504A4B" w:rsidP="00504A4B">
      <w:pPr>
        <w:numPr>
          <w:ilvl w:val="0"/>
          <w:numId w:val="6"/>
        </w:numPr>
        <w:tabs>
          <w:tab w:val="clear" w:pos="1428"/>
          <w:tab w:val="num" w:pos="600"/>
        </w:tabs>
        <w:spacing w:line="276" w:lineRule="auto"/>
        <w:rPr>
          <w:rFonts w:asciiTheme="majorBidi" w:hAnsiTheme="majorBidi" w:cstheme="majorBidi"/>
          <w:szCs w:val="24"/>
        </w:rPr>
      </w:pPr>
      <w:r w:rsidRPr="002021F3">
        <w:rPr>
          <w:rFonts w:asciiTheme="majorBidi" w:hAnsiTheme="majorBidi" w:cstheme="majorBidi"/>
          <w:szCs w:val="24"/>
        </w:rPr>
        <w:t>Orden ITC/1522/2007 de 24 de mayo por la que se establece la regulación de la garantía de origen de la electricidad.</w:t>
      </w:r>
    </w:p>
    <w:p w14:paraId="237695EA" w14:textId="77777777" w:rsidR="00C236C4" w:rsidRDefault="00C236C4" w:rsidP="00C236C4">
      <w:pPr>
        <w:numPr>
          <w:ilvl w:val="0"/>
          <w:numId w:val="6"/>
        </w:numPr>
        <w:tabs>
          <w:tab w:val="clear" w:pos="1428"/>
          <w:tab w:val="num" w:pos="600"/>
        </w:tabs>
        <w:spacing w:line="276" w:lineRule="auto"/>
        <w:rPr>
          <w:rFonts w:asciiTheme="majorBidi" w:hAnsiTheme="majorBidi" w:cstheme="majorBidi"/>
          <w:szCs w:val="24"/>
        </w:rPr>
      </w:pPr>
      <w:hyperlink r:id="rId8" w:tgtFrame="_blank" w:history="1">
        <w:r w:rsidRPr="00C236C4">
          <w:rPr>
            <w:rFonts w:asciiTheme="majorBidi" w:hAnsiTheme="majorBidi" w:cstheme="majorBidi"/>
            <w:szCs w:val="24"/>
          </w:rPr>
          <w:t>Ley 17/2007</w:t>
        </w:r>
      </w:hyperlink>
      <w:r w:rsidRPr="00B57B64">
        <w:rPr>
          <w:rFonts w:asciiTheme="majorBidi" w:hAnsiTheme="majorBidi" w:cstheme="majorBidi"/>
          <w:szCs w:val="24"/>
        </w:rPr>
        <w:t>, de 4 de julio, por la que se modifica la Ley 54/1997, de 27 de noviembre, del Sector Eléctrico, para adaptarla a lo dispuesto en la Directiva 2003/54/CE, del Parlamento Europeo y del Consejo, de 26 de junio de 2003, sobre normas comunes para el mercado interior de la electricidad.</w:t>
      </w:r>
    </w:p>
    <w:p w14:paraId="211ED9FD" w14:textId="77777777" w:rsidR="00C236C4" w:rsidRPr="002021F3" w:rsidRDefault="00C236C4" w:rsidP="00C236C4">
      <w:pPr>
        <w:numPr>
          <w:ilvl w:val="0"/>
          <w:numId w:val="6"/>
        </w:numPr>
        <w:tabs>
          <w:tab w:val="clear" w:pos="1428"/>
          <w:tab w:val="num" w:pos="600"/>
        </w:tabs>
        <w:spacing w:line="276" w:lineRule="auto"/>
        <w:rPr>
          <w:rFonts w:asciiTheme="majorBidi" w:hAnsiTheme="majorBidi" w:cstheme="majorBidi"/>
          <w:szCs w:val="24"/>
        </w:rPr>
      </w:pPr>
      <w:r w:rsidRPr="002021F3">
        <w:rPr>
          <w:rFonts w:asciiTheme="majorBidi" w:hAnsiTheme="majorBidi" w:cstheme="majorBidi"/>
          <w:szCs w:val="24"/>
        </w:rPr>
        <w:t>Real Decreto 1110/2007, de 24 de agosto, por el que se aprueba el Reglamento Unificado de Puntos de Medida de los Consumos y Tránsitos de Energía Eléctrica.</w:t>
      </w:r>
    </w:p>
    <w:p w14:paraId="7C90D448" w14:textId="77777777" w:rsidR="00504A4B" w:rsidRDefault="00504A4B" w:rsidP="00504A4B">
      <w:pPr>
        <w:numPr>
          <w:ilvl w:val="0"/>
          <w:numId w:val="6"/>
        </w:numPr>
        <w:tabs>
          <w:tab w:val="clear" w:pos="1428"/>
          <w:tab w:val="num" w:pos="600"/>
        </w:tabs>
        <w:spacing w:line="276" w:lineRule="auto"/>
        <w:rPr>
          <w:rFonts w:asciiTheme="majorBidi" w:hAnsiTheme="majorBidi" w:cstheme="majorBidi"/>
          <w:szCs w:val="24"/>
        </w:rPr>
      </w:pPr>
      <w:r w:rsidRPr="002021F3">
        <w:rPr>
          <w:rFonts w:asciiTheme="majorBidi" w:hAnsiTheme="majorBidi" w:cstheme="majorBidi"/>
          <w:szCs w:val="24"/>
        </w:rPr>
        <w:t>CIRCULAR 1/2008 de 7 de febrero, de la Comisión Nacional de la Energía, por la que se informa al consumidor sobre el origen de la electricidad consumida y su impacto sobre el medio ambiente.</w:t>
      </w:r>
    </w:p>
    <w:p w14:paraId="1EC5E64D" w14:textId="77777777" w:rsidR="00C236C4" w:rsidRDefault="00C236C4" w:rsidP="00C236C4">
      <w:pPr>
        <w:numPr>
          <w:ilvl w:val="0"/>
          <w:numId w:val="6"/>
        </w:numPr>
        <w:tabs>
          <w:tab w:val="clear" w:pos="1428"/>
          <w:tab w:val="num" w:pos="600"/>
        </w:tabs>
        <w:spacing w:line="276" w:lineRule="auto"/>
        <w:rPr>
          <w:rFonts w:asciiTheme="majorBidi" w:hAnsiTheme="majorBidi" w:cstheme="majorBidi"/>
          <w:szCs w:val="24"/>
        </w:rPr>
      </w:pPr>
      <w:hyperlink r:id="rId9" w:tgtFrame="_blank" w:history="1">
        <w:r w:rsidRPr="00C236C4">
          <w:rPr>
            <w:rFonts w:asciiTheme="majorBidi" w:hAnsiTheme="majorBidi" w:cstheme="majorBidi"/>
            <w:szCs w:val="24"/>
          </w:rPr>
          <w:t>Ley 24/2013</w:t>
        </w:r>
      </w:hyperlink>
      <w:r w:rsidRPr="00B57B64">
        <w:rPr>
          <w:rFonts w:asciiTheme="majorBidi" w:hAnsiTheme="majorBidi" w:cstheme="majorBidi"/>
          <w:szCs w:val="24"/>
        </w:rPr>
        <w:t>, de 26 de diciembre, del Sector Eléctrico.</w:t>
      </w:r>
    </w:p>
    <w:p w14:paraId="75A69C02" w14:textId="1C548946" w:rsidR="00C236C4" w:rsidRPr="00B57B64" w:rsidRDefault="00C236C4" w:rsidP="00C236C4">
      <w:pPr>
        <w:numPr>
          <w:ilvl w:val="0"/>
          <w:numId w:val="6"/>
        </w:numPr>
        <w:tabs>
          <w:tab w:val="clear" w:pos="1428"/>
          <w:tab w:val="num" w:pos="600"/>
        </w:tabs>
        <w:spacing w:line="276" w:lineRule="auto"/>
        <w:rPr>
          <w:rFonts w:asciiTheme="majorBidi" w:hAnsiTheme="majorBidi" w:cstheme="majorBidi"/>
          <w:szCs w:val="24"/>
        </w:rPr>
      </w:pPr>
      <w:hyperlink r:id="rId10" w:tgtFrame="_blank" w:history="1">
        <w:r w:rsidRPr="00C236C4">
          <w:rPr>
            <w:rFonts w:asciiTheme="majorBidi" w:hAnsiTheme="majorBidi" w:cstheme="majorBidi"/>
            <w:szCs w:val="24"/>
          </w:rPr>
          <w:t>Resolución</w:t>
        </w:r>
      </w:hyperlink>
      <w:r w:rsidR="004F75B6">
        <w:rPr>
          <w:rFonts w:asciiTheme="majorBidi" w:hAnsiTheme="majorBidi" w:cstheme="majorBidi"/>
          <w:szCs w:val="24"/>
        </w:rPr>
        <w:t xml:space="preserve"> </w:t>
      </w:r>
      <w:r w:rsidRPr="00B57B64">
        <w:rPr>
          <w:rFonts w:asciiTheme="majorBidi" w:hAnsiTheme="majorBidi" w:cstheme="majorBidi"/>
          <w:szCs w:val="24"/>
        </w:rPr>
        <w:t>de 23 de mayo de 2014, de la D.G. de Política Energética y Minas, por la que se establece el contenido mínimo y el modelo de factura de electricidad.</w:t>
      </w:r>
    </w:p>
    <w:p w14:paraId="779B73FA" w14:textId="463B9F2A" w:rsidR="00CE373E" w:rsidRDefault="00CE373E" w:rsidP="00CE373E">
      <w:pPr>
        <w:numPr>
          <w:ilvl w:val="0"/>
          <w:numId w:val="6"/>
        </w:numPr>
        <w:tabs>
          <w:tab w:val="clear" w:pos="1428"/>
          <w:tab w:val="num" w:pos="600"/>
        </w:tabs>
        <w:spacing w:line="276" w:lineRule="auto"/>
        <w:rPr>
          <w:rFonts w:asciiTheme="majorBidi" w:hAnsiTheme="majorBidi" w:cstheme="majorBidi"/>
          <w:szCs w:val="24"/>
        </w:rPr>
      </w:pPr>
      <w:hyperlink r:id="rId11" w:tgtFrame="_blank" w:history="1">
        <w:r w:rsidRPr="00BA288B">
          <w:rPr>
            <w:rFonts w:asciiTheme="majorBidi" w:hAnsiTheme="majorBidi" w:cstheme="majorBidi"/>
            <w:szCs w:val="24"/>
          </w:rPr>
          <w:t>CIRCULAR 3/2020, de 15 de enero, de la Comisión Nacional de los Mercados y la Competencia, por la que se establece la metodología para el cálculo de los peajes de transporte y distribución de electricidad</w:t>
        </w:r>
      </w:hyperlink>
      <w:r w:rsidRPr="00BA288B">
        <w:rPr>
          <w:rFonts w:asciiTheme="majorBidi" w:hAnsiTheme="majorBidi" w:cstheme="majorBidi"/>
          <w:szCs w:val="24"/>
        </w:rPr>
        <w:t> y el</w:t>
      </w:r>
      <w:hyperlink r:id="rId12" w:tgtFrame="_blank" w:history="1">
        <w:r w:rsidRPr="00BA288B">
          <w:rPr>
            <w:rFonts w:asciiTheme="majorBidi" w:hAnsiTheme="majorBidi" w:cstheme="majorBidi"/>
            <w:szCs w:val="24"/>
          </w:rPr>
          <w:t> Real Decreto 148/2021, de 9 de marzo, por el que se establece la metodología de cálculo de los cargos del sistema eléctrico</w:t>
        </w:r>
      </w:hyperlink>
      <w:r w:rsidR="00F94B38" w:rsidRPr="00BA288B">
        <w:rPr>
          <w:rFonts w:asciiTheme="majorBidi" w:hAnsiTheme="majorBidi" w:cstheme="majorBidi"/>
          <w:szCs w:val="24"/>
        </w:rPr>
        <w:t>.</w:t>
      </w:r>
    </w:p>
    <w:p w14:paraId="1C6FF01F" w14:textId="77777777" w:rsidR="00C236C4" w:rsidRPr="00B57B64" w:rsidRDefault="00C236C4" w:rsidP="00C236C4">
      <w:pPr>
        <w:numPr>
          <w:ilvl w:val="0"/>
          <w:numId w:val="6"/>
        </w:numPr>
        <w:tabs>
          <w:tab w:val="clear" w:pos="1428"/>
          <w:tab w:val="num" w:pos="600"/>
        </w:tabs>
        <w:spacing w:line="276" w:lineRule="auto"/>
        <w:rPr>
          <w:rFonts w:asciiTheme="majorBidi" w:hAnsiTheme="majorBidi" w:cstheme="majorBidi"/>
          <w:szCs w:val="24"/>
        </w:rPr>
      </w:pPr>
      <w:hyperlink r:id="rId13" w:tgtFrame="_blank" w:history="1">
        <w:r w:rsidRPr="00C236C4">
          <w:rPr>
            <w:rFonts w:asciiTheme="majorBidi" w:hAnsiTheme="majorBidi" w:cstheme="majorBidi"/>
            <w:szCs w:val="24"/>
          </w:rPr>
          <w:t>Real Decreto 148/2021</w:t>
        </w:r>
      </w:hyperlink>
      <w:r w:rsidRPr="00B57B64">
        <w:rPr>
          <w:rFonts w:asciiTheme="majorBidi" w:hAnsiTheme="majorBidi" w:cstheme="majorBidi"/>
          <w:szCs w:val="24"/>
        </w:rPr>
        <w:t>, de 9 de marzo, por el que se establece la metodología de cálculo de los cargos del sistema eléctrico.</w:t>
      </w:r>
    </w:p>
    <w:p w14:paraId="7855FA4D" w14:textId="0941C900" w:rsidR="00F94B38" w:rsidRDefault="004F75B6" w:rsidP="00CE373E">
      <w:pPr>
        <w:numPr>
          <w:ilvl w:val="0"/>
          <w:numId w:val="6"/>
        </w:numPr>
        <w:tabs>
          <w:tab w:val="clear" w:pos="1428"/>
          <w:tab w:val="num" w:pos="600"/>
        </w:tabs>
        <w:spacing w:line="276" w:lineRule="auto"/>
        <w:rPr>
          <w:rFonts w:asciiTheme="majorBidi" w:hAnsiTheme="majorBidi" w:cstheme="majorBidi"/>
          <w:szCs w:val="24"/>
        </w:rPr>
      </w:pPr>
      <w:r>
        <w:rPr>
          <w:rFonts w:asciiTheme="majorBidi" w:hAnsiTheme="majorBidi" w:cstheme="majorBidi"/>
          <w:szCs w:val="24"/>
        </w:rPr>
        <w:t xml:space="preserve">La </w:t>
      </w:r>
      <w:hyperlink r:id="rId14" w:tgtFrame="_blank" w:history="1">
        <w:r w:rsidR="00F94B38" w:rsidRPr="00BA288B">
          <w:rPr>
            <w:rFonts w:asciiTheme="majorBidi" w:hAnsiTheme="majorBidi" w:cstheme="majorBidi"/>
            <w:szCs w:val="24"/>
          </w:rPr>
          <w:t>resolución de 18 de marzo de 2021, de la Comisión Nacional de los Mercados y la Competencia, por la que se establecen los valores de los peajes de acceso a las redes de transporte y distribución de electricidad de aplicación a partir del 1 de junio de 2021</w:t>
        </w:r>
      </w:hyperlink>
      <w:r w:rsidR="006F579D" w:rsidRPr="00BA288B">
        <w:rPr>
          <w:rFonts w:asciiTheme="majorBidi" w:hAnsiTheme="majorBidi" w:cstheme="majorBidi"/>
          <w:szCs w:val="24"/>
        </w:rPr>
        <w:t>.</w:t>
      </w:r>
    </w:p>
    <w:p w14:paraId="096DC4FA" w14:textId="77777777" w:rsidR="00C236C4" w:rsidRDefault="00C236C4" w:rsidP="00C236C4">
      <w:pPr>
        <w:numPr>
          <w:ilvl w:val="0"/>
          <w:numId w:val="6"/>
        </w:numPr>
        <w:shd w:val="clear" w:color="auto" w:fill="FAFAFA"/>
        <w:spacing w:before="100" w:beforeAutospacing="1" w:after="100" w:afterAutospacing="1" w:line="240" w:lineRule="auto"/>
        <w:rPr>
          <w:rFonts w:asciiTheme="majorBidi" w:hAnsiTheme="majorBidi" w:cstheme="majorBidi"/>
          <w:szCs w:val="24"/>
        </w:rPr>
      </w:pPr>
      <w:hyperlink r:id="rId15" w:tgtFrame="_blank" w:history="1">
        <w:r w:rsidRPr="00C236C4">
          <w:rPr>
            <w:rFonts w:asciiTheme="majorBidi" w:hAnsiTheme="majorBidi" w:cstheme="majorBidi"/>
            <w:szCs w:val="24"/>
          </w:rPr>
          <w:t>Resolución de 28 de abril de 2021</w:t>
        </w:r>
      </w:hyperlink>
      <w:r w:rsidRPr="00B57B64">
        <w:rPr>
          <w:rFonts w:asciiTheme="majorBidi" w:hAnsiTheme="majorBidi" w:cstheme="majorBidi"/>
          <w:szCs w:val="24"/>
        </w:rPr>
        <w:t>, de la Dirección General de Política Energética y Minas, por la que se establece el contenido mínimo y el modelo de factura de electricidad a utilizar por los comercializadores de referencia.</w:t>
      </w:r>
    </w:p>
    <w:p w14:paraId="6F46BE95" w14:textId="77777777" w:rsidR="00C236C4" w:rsidRPr="00B57B64" w:rsidRDefault="00C236C4" w:rsidP="00C236C4">
      <w:pPr>
        <w:numPr>
          <w:ilvl w:val="0"/>
          <w:numId w:val="6"/>
        </w:numPr>
        <w:shd w:val="clear" w:color="auto" w:fill="FAFAFA"/>
        <w:spacing w:before="100" w:beforeAutospacing="1" w:after="100" w:afterAutospacing="1" w:line="240" w:lineRule="auto"/>
        <w:rPr>
          <w:rFonts w:asciiTheme="majorBidi" w:hAnsiTheme="majorBidi" w:cstheme="majorBidi"/>
          <w:szCs w:val="24"/>
        </w:rPr>
      </w:pPr>
      <w:hyperlink r:id="rId16" w:tgtFrame="_blank" w:history="1">
        <w:r w:rsidRPr="00C236C4">
          <w:rPr>
            <w:rFonts w:asciiTheme="majorBidi" w:hAnsiTheme="majorBidi" w:cstheme="majorBidi"/>
            <w:szCs w:val="24"/>
          </w:rPr>
          <w:t>Real Decreto-ley 17/2021</w:t>
        </w:r>
      </w:hyperlink>
      <w:r w:rsidRPr="00B57B64">
        <w:rPr>
          <w:rFonts w:asciiTheme="majorBidi" w:hAnsiTheme="majorBidi" w:cstheme="majorBidi"/>
          <w:szCs w:val="24"/>
        </w:rPr>
        <w:t>, de 14 de septiembre, de medidas urgentes para mitigar el impacto de la escalada de precios del gas natural en los mercados minoristas de gas y electricidad.</w:t>
      </w:r>
    </w:p>
    <w:p w14:paraId="4D256273" w14:textId="77777777" w:rsidR="00504A4B" w:rsidRDefault="00504A4B" w:rsidP="00504A4B">
      <w:pPr>
        <w:numPr>
          <w:ilvl w:val="0"/>
          <w:numId w:val="6"/>
        </w:numPr>
        <w:spacing w:line="276" w:lineRule="auto"/>
        <w:rPr>
          <w:rFonts w:asciiTheme="majorBidi" w:hAnsiTheme="majorBidi" w:cstheme="majorBidi"/>
          <w:szCs w:val="24"/>
        </w:rPr>
      </w:pPr>
      <w:r w:rsidRPr="002021F3">
        <w:rPr>
          <w:rFonts w:asciiTheme="majorBidi" w:hAnsiTheme="majorBidi" w:cstheme="majorBidi"/>
          <w:szCs w:val="24"/>
        </w:rPr>
        <w:t>Resto de Normativa de desarrollo y aquella que complemente, derogue o sustituya a la anterior.</w:t>
      </w:r>
    </w:p>
    <w:p w14:paraId="3DC30320" w14:textId="73D2574B" w:rsidR="00504A4B" w:rsidRPr="00504A4B" w:rsidRDefault="00504A4B" w:rsidP="0070510D">
      <w:pPr>
        <w:spacing w:line="276" w:lineRule="auto"/>
        <w:rPr>
          <w:rFonts w:asciiTheme="majorBidi" w:hAnsiTheme="majorBidi" w:cstheme="majorBidi"/>
          <w:szCs w:val="24"/>
        </w:rPr>
      </w:pPr>
      <w:r w:rsidRPr="00504A4B">
        <w:rPr>
          <w:rFonts w:asciiTheme="majorBidi" w:hAnsiTheme="majorBidi" w:cstheme="majorBidi"/>
          <w:b/>
          <w:szCs w:val="24"/>
        </w:rPr>
        <w:t>Cl</w:t>
      </w:r>
      <w:r w:rsidR="0070510D">
        <w:rPr>
          <w:rFonts w:asciiTheme="majorBidi" w:hAnsiTheme="majorBidi" w:cstheme="majorBidi"/>
          <w:b/>
          <w:szCs w:val="24"/>
        </w:rPr>
        <w:t>á</w:t>
      </w:r>
      <w:r w:rsidRPr="00504A4B">
        <w:rPr>
          <w:rFonts w:asciiTheme="majorBidi" w:hAnsiTheme="majorBidi" w:cstheme="majorBidi"/>
          <w:b/>
          <w:szCs w:val="24"/>
        </w:rPr>
        <w:t xml:space="preserve">usula </w:t>
      </w:r>
      <w:r>
        <w:rPr>
          <w:rFonts w:asciiTheme="majorBidi" w:hAnsiTheme="majorBidi" w:cstheme="majorBidi"/>
          <w:b/>
          <w:szCs w:val="24"/>
        </w:rPr>
        <w:t>3</w:t>
      </w:r>
      <w:r w:rsidRPr="00504A4B">
        <w:rPr>
          <w:rFonts w:asciiTheme="majorBidi" w:hAnsiTheme="majorBidi" w:cstheme="majorBidi"/>
          <w:b/>
          <w:szCs w:val="24"/>
        </w:rPr>
        <w:t xml:space="preserve">. </w:t>
      </w:r>
      <w:r>
        <w:rPr>
          <w:rFonts w:asciiTheme="majorBidi" w:hAnsiTheme="majorBidi" w:cstheme="majorBidi"/>
          <w:b/>
          <w:szCs w:val="24"/>
        </w:rPr>
        <w:t>Alcance y características del suministro.</w:t>
      </w:r>
    </w:p>
    <w:p w14:paraId="5CF416E0" w14:textId="3FBAB8A3" w:rsidR="00504A4B" w:rsidRPr="0070510D" w:rsidRDefault="0070510D" w:rsidP="0070510D">
      <w:pPr>
        <w:spacing w:line="276" w:lineRule="auto"/>
        <w:rPr>
          <w:rFonts w:asciiTheme="majorBidi" w:hAnsiTheme="majorBidi" w:cstheme="majorBidi"/>
          <w:szCs w:val="24"/>
        </w:rPr>
      </w:pPr>
      <w:r w:rsidRPr="0070510D">
        <w:rPr>
          <w:rFonts w:asciiTheme="majorBidi" w:hAnsiTheme="majorBidi" w:cstheme="majorBidi"/>
          <w:b/>
          <w:bCs/>
          <w:szCs w:val="24"/>
        </w:rPr>
        <w:t>3.1</w:t>
      </w:r>
      <w:r>
        <w:rPr>
          <w:rFonts w:asciiTheme="majorBidi" w:hAnsiTheme="majorBidi" w:cstheme="majorBidi"/>
          <w:szCs w:val="24"/>
        </w:rPr>
        <w:t xml:space="preserve"> </w:t>
      </w:r>
      <w:r w:rsidR="00504A4B" w:rsidRPr="0070510D">
        <w:rPr>
          <w:rFonts w:asciiTheme="majorBidi" w:hAnsiTheme="majorBidi" w:cstheme="majorBidi"/>
          <w:szCs w:val="24"/>
        </w:rPr>
        <w:t xml:space="preserve">La relación de los distintos suministros y sus características específicas, son los indicados respectivamente en los </w:t>
      </w:r>
      <w:r w:rsidR="006A7E82">
        <w:rPr>
          <w:rFonts w:asciiTheme="majorBidi" w:hAnsiTheme="majorBidi" w:cstheme="majorBidi"/>
          <w:szCs w:val="24"/>
        </w:rPr>
        <w:t>a</w:t>
      </w:r>
      <w:r w:rsidR="00504A4B" w:rsidRPr="0070510D">
        <w:rPr>
          <w:rFonts w:asciiTheme="majorBidi" w:hAnsiTheme="majorBidi" w:cstheme="majorBidi"/>
          <w:szCs w:val="24"/>
        </w:rPr>
        <w:t>nexos de</w:t>
      </w:r>
      <w:r w:rsidR="006A7E82">
        <w:rPr>
          <w:rFonts w:asciiTheme="majorBidi" w:hAnsiTheme="majorBidi" w:cstheme="majorBidi"/>
          <w:szCs w:val="24"/>
        </w:rPr>
        <w:t>l presente pliego</w:t>
      </w:r>
      <w:r w:rsidR="00504A4B" w:rsidRPr="0070510D">
        <w:rPr>
          <w:rFonts w:asciiTheme="majorBidi" w:hAnsiTheme="majorBidi" w:cstheme="majorBidi"/>
          <w:szCs w:val="24"/>
        </w:rPr>
        <w:t>.</w:t>
      </w:r>
    </w:p>
    <w:p w14:paraId="097CF6C1" w14:textId="2D98B69C" w:rsidR="0070510D" w:rsidRPr="002021F3" w:rsidRDefault="0070510D" w:rsidP="0070510D">
      <w:pPr>
        <w:spacing w:line="276" w:lineRule="auto"/>
        <w:rPr>
          <w:rFonts w:asciiTheme="majorBidi" w:hAnsiTheme="majorBidi" w:cstheme="majorBidi"/>
          <w:szCs w:val="24"/>
        </w:rPr>
      </w:pPr>
      <w:r w:rsidRPr="0070510D">
        <w:rPr>
          <w:rFonts w:asciiTheme="majorBidi" w:hAnsiTheme="majorBidi" w:cstheme="majorBidi"/>
          <w:b/>
          <w:bCs/>
          <w:szCs w:val="24"/>
        </w:rPr>
        <w:t>3.</w:t>
      </w:r>
      <w:r>
        <w:rPr>
          <w:rFonts w:asciiTheme="majorBidi" w:hAnsiTheme="majorBidi" w:cstheme="majorBidi"/>
          <w:b/>
          <w:bCs/>
          <w:szCs w:val="24"/>
        </w:rPr>
        <w:t>2</w:t>
      </w:r>
      <w:r>
        <w:rPr>
          <w:rFonts w:asciiTheme="majorBidi" w:hAnsiTheme="majorBidi" w:cstheme="majorBidi"/>
          <w:szCs w:val="24"/>
        </w:rPr>
        <w:t xml:space="preserve"> </w:t>
      </w:r>
      <w:r w:rsidRPr="002021F3">
        <w:rPr>
          <w:rFonts w:asciiTheme="majorBidi" w:hAnsiTheme="majorBidi" w:cstheme="majorBidi"/>
          <w:szCs w:val="24"/>
        </w:rPr>
        <w:t xml:space="preserve">La </w:t>
      </w:r>
      <w:r>
        <w:rPr>
          <w:rFonts w:asciiTheme="majorBidi" w:hAnsiTheme="majorBidi" w:cstheme="majorBidi"/>
          <w:szCs w:val="24"/>
        </w:rPr>
        <w:t>Fundación</w:t>
      </w:r>
      <w:r w:rsidR="006A7E82">
        <w:rPr>
          <w:rFonts w:asciiTheme="majorBidi" w:hAnsiTheme="majorBidi" w:cstheme="majorBidi"/>
          <w:szCs w:val="24"/>
        </w:rPr>
        <w:t>,</w:t>
      </w:r>
      <w:r w:rsidRPr="002021F3">
        <w:rPr>
          <w:rFonts w:asciiTheme="majorBidi" w:hAnsiTheme="majorBidi" w:cstheme="majorBidi"/>
          <w:szCs w:val="24"/>
        </w:rPr>
        <w:t xml:space="preserve"> con el asesoramiento del adjudicatario</w:t>
      </w:r>
      <w:r w:rsidR="006A7E82">
        <w:rPr>
          <w:rFonts w:asciiTheme="majorBidi" w:hAnsiTheme="majorBidi" w:cstheme="majorBidi"/>
          <w:szCs w:val="24"/>
        </w:rPr>
        <w:t>,</w:t>
      </w:r>
      <w:r w:rsidRPr="002021F3">
        <w:rPr>
          <w:rFonts w:asciiTheme="majorBidi" w:hAnsiTheme="majorBidi" w:cstheme="majorBidi"/>
          <w:szCs w:val="24"/>
        </w:rPr>
        <w:t xml:space="preserve"> podrá modificar una vez por año durante la vigencia del contrato las potencias contratadas en los distintos periodos, en función de sus necesidades, y dentro de los límites establecidos por la normativa. La</w:t>
      </w:r>
      <w:r>
        <w:rPr>
          <w:rFonts w:asciiTheme="majorBidi" w:hAnsiTheme="majorBidi" w:cstheme="majorBidi"/>
          <w:szCs w:val="24"/>
        </w:rPr>
        <w:t xml:space="preserve"> Fundación sufragará</w:t>
      </w:r>
      <w:r w:rsidRPr="002021F3">
        <w:rPr>
          <w:rFonts w:asciiTheme="majorBidi" w:hAnsiTheme="majorBidi" w:cstheme="majorBidi"/>
          <w:szCs w:val="24"/>
        </w:rPr>
        <w:t xml:space="preserve"> los gastos que el Distribuidor traslade al </w:t>
      </w:r>
      <w:r>
        <w:rPr>
          <w:rFonts w:asciiTheme="majorBidi" w:hAnsiTheme="majorBidi" w:cstheme="majorBidi"/>
          <w:szCs w:val="24"/>
        </w:rPr>
        <w:t>adjudicatario o c</w:t>
      </w:r>
      <w:r w:rsidRPr="002021F3">
        <w:rPr>
          <w:rFonts w:asciiTheme="majorBidi" w:hAnsiTheme="majorBidi" w:cstheme="majorBidi"/>
          <w:szCs w:val="24"/>
        </w:rPr>
        <w:t>omercializador por los cambios solicitados.</w:t>
      </w:r>
    </w:p>
    <w:p w14:paraId="1A130CF4" w14:textId="77777777" w:rsidR="0070510D" w:rsidRDefault="0070510D" w:rsidP="0070510D">
      <w:pPr>
        <w:autoSpaceDE w:val="0"/>
        <w:autoSpaceDN w:val="0"/>
        <w:adjustRightInd w:val="0"/>
        <w:spacing w:line="276" w:lineRule="auto"/>
        <w:rPr>
          <w:rFonts w:asciiTheme="majorBidi" w:hAnsiTheme="majorBidi" w:cstheme="majorBidi"/>
          <w:szCs w:val="24"/>
        </w:rPr>
      </w:pPr>
      <w:r w:rsidRPr="002021F3">
        <w:rPr>
          <w:rFonts w:asciiTheme="majorBidi" w:hAnsiTheme="majorBidi" w:cstheme="majorBidi"/>
          <w:szCs w:val="24"/>
        </w:rPr>
        <w:t>Durante la vigencia del contrato podrá aumentar o disminuir el servicio según necesidades, por lo que la empresa adjudicataria estará obligada a asumir estas posibles variaciones, con el correspondiente aumento o reducción del precio a facturar, efectuando si procede</w:t>
      </w:r>
      <w:r>
        <w:rPr>
          <w:rFonts w:asciiTheme="majorBidi" w:hAnsiTheme="majorBidi" w:cstheme="majorBidi"/>
          <w:szCs w:val="24"/>
        </w:rPr>
        <w:t>,</w:t>
      </w:r>
      <w:r w:rsidRPr="002021F3">
        <w:rPr>
          <w:rFonts w:asciiTheme="majorBidi" w:hAnsiTheme="majorBidi" w:cstheme="majorBidi"/>
          <w:szCs w:val="24"/>
        </w:rPr>
        <w:t xml:space="preserve"> la correspondiente modificación del contrato. </w:t>
      </w:r>
    </w:p>
    <w:p w14:paraId="7D62FED9" w14:textId="03098EA0" w:rsidR="00504A4B" w:rsidRPr="002021F3" w:rsidRDefault="0070510D" w:rsidP="00504A4B">
      <w:pPr>
        <w:spacing w:line="276" w:lineRule="auto"/>
        <w:rPr>
          <w:rFonts w:asciiTheme="majorBidi" w:hAnsiTheme="majorBidi" w:cstheme="majorBidi"/>
          <w:szCs w:val="24"/>
        </w:rPr>
      </w:pPr>
      <w:r w:rsidRPr="0070510D">
        <w:rPr>
          <w:rFonts w:asciiTheme="majorBidi" w:hAnsiTheme="majorBidi" w:cstheme="majorBidi"/>
          <w:b/>
          <w:bCs/>
          <w:szCs w:val="24"/>
        </w:rPr>
        <w:t>3.</w:t>
      </w:r>
      <w:r>
        <w:rPr>
          <w:rFonts w:asciiTheme="majorBidi" w:hAnsiTheme="majorBidi" w:cstheme="majorBidi"/>
          <w:b/>
          <w:bCs/>
          <w:szCs w:val="24"/>
        </w:rPr>
        <w:t>3</w:t>
      </w:r>
      <w:r w:rsidRPr="0070510D">
        <w:rPr>
          <w:rFonts w:asciiTheme="majorBidi" w:hAnsiTheme="majorBidi" w:cstheme="majorBidi"/>
          <w:szCs w:val="24"/>
        </w:rPr>
        <w:t xml:space="preserve"> </w:t>
      </w:r>
      <w:r w:rsidR="00504A4B" w:rsidRPr="0070510D">
        <w:rPr>
          <w:rFonts w:asciiTheme="majorBidi" w:hAnsiTheme="majorBidi" w:cstheme="majorBidi"/>
          <w:szCs w:val="24"/>
        </w:rPr>
        <w:t xml:space="preserve">Las Directivas 2001/77/CE y 2004/08/CE del Parlamento Europeo y del Consejo relativas a la promoción de la electricidad generada a partir de energías renovables en el mercado interior de la electricidad, aboga por la asunción, por parte de los estados miembros, de objetivos vinculantes y ambiciones en materia de energías renovables. Por ello, </w:t>
      </w:r>
      <w:r w:rsidR="00504A4B" w:rsidRPr="006A7E82">
        <w:rPr>
          <w:rFonts w:asciiTheme="majorBidi" w:hAnsiTheme="majorBidi" w:cstheme="majorBidi"/>
          <w:szCs w:val="24"/>
          <w:u w:val="single"/>
        </w:rPr>
        <w:t>la energía suministrada objeto de esta contratación, procederá, al menos el ochenta por ciento</w:t>
      </w:r>
      <w:r w:rsidR="00504A4B" w:rsidRPr="0070510D">
        <w:rPr>
          <w:rFonts w:asciiTheme="majorBidi" w:hAnsiTheme="majorBidi" w:cstheme="majorBidi"/>
          <w:szCs w:val="24"/>
        </w:rPr>
        <w:t>, de fuentes de energía renovables, que se justificarán mediante certificados o garantías que acrediten su origen,</w:t>
      </w:r>
      <w:r w:rsidR="00504A4B" w:rsidRPr="002021F3">
        <w:rPr>
          <w:rFonts w:asciiTheme="majorBidi" w:hAnsiTheme="majorBidi" w:cstheme="majorBidi"/>
          <w:szCs w:val="24"/>
        </w:rPr>
        <w:t xml:space="preserve"> según especifica la Directiva europea 2001/77/CE de 27 de septiembre de 2001, que evita la emisión de gases que provoca el efecto invernadero.</w:t>
      </w:r>
    </w:p>
    <w:p w14:paraId="43CFCC4E" w14:textId="6CDB1D7A" w:rsidR="0070510D" w:rsidRDefault="0070510D" w:rsidP="0070510D">
      <w:pPr>
        <w:spacing w:line="276" w:lineRule="auto"/>
        <w:rPr>
          <w:rFonts w:asciiTheme="majorBidi" w:hAnsiTheme="majorBidi" w:cstheme="majorBidi"/>
          <w:szCs w:val="24"/>
        </w:rPr>
      </w:pPr>
      <w:r w:rsidRPr="0070510D">
        <w:rPr>
          <w:rFonts w:asciiTheme="majorBidi" w:hAnsiTheme="majorBidi" w:cstheme="majorBidi"/>
          <w:b/>
          <w:bCs/>
          <w:szCs w:val="24"/>
        </w:rPr>
        <w:lastRenderedPageBreak/>
        <w:t>3.4</w:t>
      </w:r>
      <w:r>
        <w:rPr>
          <w:rFonts w:asciiTheme="majorBidi" w:hAnsiTheme="majorBidi" w:cstheme="majorBidi"/>
          <w:szCs w:val="24"/>
        </w:rPr>
        <w:t xml:space="preserve"> </w:t>
      </w:r>
      <w:r w:rsidRPr="002021F3">
        <w:rPr>
          <w:rFonts w:asciiTheme="majorBidi" w:hAnsiTheme="majorBidi" w:cstheme="majorBidi"/>
          <w:szCs w:val="24"/>
        </w:rPr>
        <w:t xml:space="preserve">La </w:t>
      </w:r>
      <w:r>
        <w:rPr>
          <w:rFonts w:asciiTheme="majorBidi" w:hAnsiTheme="majorBidi" w:cstheme="majorBidi"/>
          <w:szCs w:val="24"/>
        </w:rPr>
        <w:t>Fundación</w:t>
      </w:r>
      <w:r w:rsidRPr="002021F3">
        <w:rPr>
          <w:rFonts w:asciiTheme="majorBidi" w:hAnsiTheme="majorBidi" w:cstheme="majorBidi"/>
          <w:szCs w:val="24"/>
        </w:rPr>
        <w:t xml:space="preserve"> aportará a la empresa distribuidora, la autorización pertinente para realizar aquellas maniobras y operaciones necesarias para efectuar la entrega del producto en terrenos, edificios e instalaciones de su propiedad. Con carácter general, la </w:t>
      </w:r>
      <w:r>
        <w:rPr>
          <w:rFonts w:asciiTheme="majorBidi" w:hAnsiTheme="majorBidi" w:cstheme="majorBidi"/>
          <w:szCs w:val="24"/>
        </w:rPr>
        <w:t>e</w:t>
      </w:r>
      <w:r w:rsidRPr="002021F3">
        <w:rPr>
          <w:rFonts w:asciiTheme="majorBidi" w:hAnsiTheme="majorBidi" w:cstheme="majorBidi"/>
          <w:szCs w:val="24"/>
        </w:rPr>
        <w:t>mpresa adjudicataria se ajustará en todo momento a lo dispuesto por la legislación vigente en todo lo referente a Normas de Protección y Seguridad exigibles en relación con el suministro objeto del presente contrato.</w:t>
      </w:r>
    </w:p>
    <w:p w14:paraId="2D06CF6D" w14:textId="0C199E8B" w:rsidR="0070510D" w:rsidRDefault="0070510D" w:rsidP="0070510D">
      <w:pPr>
        <w:spacing w:line="276" w:lineRule="auto"/>
        <w:rPr>
          <w:rFonts w:asciiTheme="majorBidi" w:hAnsiTheme="majorBidi" w:cstheme="majorBidi"/>
          <w:szCs w:val="24"/>
        </w:rPr>
      </w:pPr>
      <w:r w:rsidRPr="0070510D">
        <w:rPr>
          <w:rFonts w:asciiTheme="majorBidi" w:hAnsiTheme="majorBidi" w:cstheme="majorBidi"/>
          <w:b/>
          <w:bCs/>
          <w:szCs w:val="24"/>
        </w:rPr>
        <w:t>3.5</w:t>
      </w:r>
      <w:r>
        <w:rPr>
          <w:rFonts w:asciiTheme="majorBidi" w:hAnsiTheme="majorBidi" w:cstheme="majorBidi"/>
          <w:szCs w:val="24"/>
        </w:rPr>
        <w:t xml:space="preserve"> </w:t>
      </w:r>
      <w:r w:rsidRPr="0070510D">
        <w:rPr>
          <w:rFonts w:asciiTheme="majorBidi" w:hAnsiTheme="majorBidi" w:cstheme="majorBidi"/>
          <w:szCs w:val="24"/>
          <w:u w:val="single"/>
        </w:rPr>
        <w:t>La Fundación opta por la fórmula de contratar conjuntamente la adquisición de la energía y el acceso a redes con el adjudicatario o comercializador</w:t>
      </w:r>
      <w:r w:rsidRPr="0070510D">
        <w:rPr>
          <w:rFonts w:asciiTheme="majorBidi" w:hAnsiTheme="majorBidi" w:cstheme="majorBidi"/>
          <w:szCs w:val="24"/>
        </w:rPr>
        <w:t>, por tanto, la Fundación firmará un Contrato de adquisición de energía eléctrica y prestación de servicios con el adjudicatario o comercializador y un contrato de adquisición de acceso a redes con el distribuidor a través del adjudicatario o comercializador.</w:t>
      </w:r>
    </w:p>
    <w:p w14:paraId="4DE3F550" w14:textId="2BCBBB0A" w:rsidR="0070510D" w:rsidRPr="002021F3" w:rsidRDefault="0070510D" w:rsidP="0070510D">
      <w:pPr>
        <w:spacing w:line="276" w:lineRule="auto"/>
        <w:rPr>
          <w:rFonts w:asciiTheme="majorBidi" w:hAnsiTheme="majorBidi" w:cstheme="majorBidi"/>
          <w:szCs w:val="24"/>
        </w:rPr>
      </w:pPr>
      <w:r w:rsidRPr="0070510D">
        <w:rPr>
          <w:rFonts w:asciiTheme="majorBidi" w:hAnsiTheme="majorBidi" w:cstheme="majorBidi"/>
          <w:b/>
          <w:bCs/>
          <w:szCs w:val="24"/>
        </w:rPr>
        <w:t>3.6</w:t>
      </w:r>
      <w:r>
        <w:rPr>
          <w:rFonts w:asciiTheme="majorBidi" w:hAnsiTheme="majorBidi" w:cstheme="majorBidi"/>
          <w:szCs w:val="24"/>
        </w:rPr>
        <w:t xml:space="preserve"> </w:t>
      </w:r>
      <w:r w:rsidRPr="0070510D">
        <w:rPr>
          <w:rFonts w:asciiTheme="majorBidi" w:hAnsiTheme="majorBidi" w:cstheme="majorBidi"/>
          <w:szCs w:val="24"/>
        </w:rPr>
        <w:t xml:space="preserve">El </w:t>
      </w:r>
      <w:r>
        <w:rPr>
          <w:rFonts w:asciiTheme="majorBidi" w:hAnsiTheme="majorBidi" w:cstheme="majorBidi"/>
          <w:szCs w:val="24"/>
        </w:rPr>
        <w:t>adjudicatario o c</w:t>
      </w:r>
      <w:r w:rsidRPr="0070510D">
        <w:rPr>
          <w:rFonts w:asciiTheme="majorBidi" w:hAnsiTheme="majorBidi" w:cstheme="majorBidi"/>
          <w:szCs w:val="24"/>
        </w:rPr>
        <w:t xml:space="preserve">omercializador será responsable del servicio de acuerdo con lo reglamentado en el RD 1955/2000 de 1 de </w:t>
      </w:r>
      <w:r w:rsidR="006A7E82">
        <w:rPr>
          <w:rFonts w:asciiTheme="majorBidi" w:hAnsiTheme="majorBidi" w:cstheme="majorBidi"/>
          <w:szCs w:val="24"/>
        </w:rPr>
        <w:t>d</w:t>
      </w:r>
      <w:r w:rsidRPr="0070510D">
        <w:rPr>
          <w:rFonts w:asciiTheme="majorBidi" w:hAnsiTheme="majorBidi" w:cstheme="majorBidi"/>
          <w:szCs w:val="24"/>
        </w:rPr>
        <w:t>iciembre, por el que se regulan las actividades de transporte, distribución, comercialización, suministro y procedimiento de autorización de las instalaciones de energía eléctrica y el RD 1110/2007 de 24 de agosto, por el que se aprueba el Reglamento Unificado de puntos de media o cualquier otra legislación vigente que los sustituyan o complementen.</w:t>
      </w:r>
    </w:p>
    <w:p w14:paraId="0D5F509C" w14:textId="6C89C493" w:rsidR="00504A4B" w:rsidRPr="002021F3" w:rsidRDefault="0070510D" w:rsidP="0070510D">
      <w:pPr>
        <w:spacing w:line="276" w:lineRule="auto"/>
        <w:rPr>
          <w:rFonts w:asciiTheme="majorBidi" w:hAnsiTheme="majorBidi" w:cstheme="majorBidi"/>
          <w:szCs w:val="24"/>
        </w:rPr>
      </w:pPr>
      <w:r w:rsidRPr="0070510D">
        <w:rPr>
          <w:rFonts w:asciiTheme="majorBidi" w:hAnsiTheme="majorBidi" w:cstheme="majorBidi"/>
          <w:b/>
          <w:bCs/>
          <w:szCs w:val="24"/>
        </w:rPr>
        <w:t>3.7</w:t>
      </w:r>
      <w:r>
        <w:rPr>
          <w:rFonts w:asciiTheme="majorBidi" w:hAnsiTheme="majorBidi" w:cstheme="majorBidi"/>
          <w:szCs w:val="24"/>
        </w:rPr>
        <w:t xml:space="preserve"> </w:t>
      </w:r>
      <w:r w:rsidR="00504A4B" w:rsidRPr="002021F3">
        <w:rPr>
          <w:rFonts w:asciiTheme="majorBidi" w:hAnsiTheme="majorBidi" w:cstheme="majorBidi"/>
          <w:szCs w:val="24"/>
        </w:rPr>
        <w:t xml:space="preserve">El </w:t>
      </w:r>
      <w:r>
        <w:rPr>
          <w:rFonts w:asciiTheme="majorBidi" w:hAnsiTheme="majorBidi" w:cstheme="majorBidi"/>
          <w:szCs w:val="24"/>
        </w:rPr>
        <w:t>adjudicatario o c</w:t>
      </w:r>
      <w:r w:rsidR="00504A4B" w:rsidRPr="002021F3">
        <w:rPr>
          <w:rFonts w:asciiTheme="majorBidi" w:hAnsiTheme="majorBidi" w:cstheme="majorBidi"/>
          <w:szCs w:val="24"/>
        </w:rPr>
        <w:t xml:space="preserve">omercializador tramitará ante la </w:t>
      </w:r>
      <w:r>
        <w:rPr>
          <w:rFonts w:asciiTheme="majorBidi" w:hAnsiTheme="majorBidi" w:cstheme="majorBidi"/>
          <w:szCs w:val="24"/>
        </w:rPr>
        <w:t>e</w:t>
      </w:r>
      <w:r w:rsidR="00504A4B" w:rsidRPr="002021F3">
        <w:rPr>
          <w:rFonts w:asciiTheme="majorBidi" w:hAnsiTheme="majorBidi" w:cstheme="majorBidi"/>
          <w:szCs w:val="24"/>
        </w:rPr>
        <w:t xml:space="preserve">mpresa </w:t>
      </w:r>
      <w:r>
        <w:rPr>
          <w:rFonts w:asciiTheme="majorBidi" w:hAnsiTheme="majorBidi" w:cstheme="majorBidi"/>
          <w:szCs w:val="24"/>
        </w:rPr>
        <w:t>d</w:t>
      </w:r>
      <w:r w:rsidR="00504A4B" w:rsidRPr="002021F3">
        <w:rPr>
          <w:rFonts w:asciiTheme="majorBidi" w:hAnsiTheme="majorBidi" w:cstheme="majorBidi"/>
          <w:szCs w:val="24"/>
        </w:rPr>
        <w:t>istribuidora las reclamaciones por calidad de suministro que correspondan a la</w:t>
      </w:r>
      <w:r>
        <w:rPr>
          <w:rFonts w:asciiTheme="majorBidi" w:hAnsiTheme="majorBidi" w:cstheme="majorBidi"/>
          <w:szCs w:val="24"/>
        </w:rPr>
        <w:t xml:space="preserve"> Fundación</w:t>
      </w:r>
      <w:r w:rsidR="00504A4B" w:rsidRPr="002021F3">
        <w:rPr>
          <w:rFonts w:asciiTheme="majorBidi" w:hAnsiTheme="majorBidi" w:cstheme="majorBidi"/>
          <w:szCs w:val="24"/>
        </w:rPr>
        <w:t xml:space="preserve"> y trasladará en las facturas los descuentos que, en su caso, aplique la Empresa distribuidora de acuerdo con la normativa vigente.</w:t>
      </w:r>
    </w:p>
    <w:p w14:paraId="1CA41E4E" w14:textId="4D0A207F" w:rsidR="00504A4B" w:rsidRPr="002021F3" w:rsidRDefault="0070510D" w:rsidP="0070510D">
      <w:pPr>
        <w:spacing w:line="276" w:lineRule="auto"/>
        <w:rPr>
          <w:rFonts w:asciiTheme="majorBidi" w:hAnsiTheme="majorBidi" w:cstheme="majorBidi"/>
          <w:szCs w:val="24"/>
        </w:rPr>
      </w:pPr>
      <w:r w:rsidRPr="0070510D">
        <w:rPr>
          <w:rFonts w:asciiTheme="majorBidi" w:hAnsiTheme="majorBidi" w:cstheme="majorBidi"/>
          <w:b/>
          <w:bCs/>
          <w:szCs w:val="24"/>
        </w:rPr>
        <w:t>3.8</w:t>
      </w:r>
      <w:r>
        <w:rPr>
          <w:rFonts w:asciiTheme="majorBidi" w:hAnsiTheme="majorBidi" w:cstheme="majorBidi"/>
          <w:szCs w:val="24"/>
        </w:rPr>
        <w:t xml:space="preserve"> El adjudicatario d</w:t>
      </w:r>
      <w:r w:rsidR="00504A4B" w:rsidRPr="002021F3">
        <w:rPr>
          <w:rFonts w:asciiTheme="majorBidi" w:hAnsiTheme="majorBidi" w:cstheme="majorBidi"/>
          <w:szCs w:val="24"/>
        </w:rPr>
        <w:t xml:space="preserve">ispondrá de un servicio permanente de atención a la </w:t>
      </w:r>
      <w:r>
        <w:rPr>
          <w:rFonts w:asciiTheme="majorBidi" w:hAnsiTheme="majorBidi" w:cstheme="majorBidi"/>
          <w:szCs w:val="24"/>
        </w:rPr>
        <w:t>Fundación</w:t>
      </w:r>
      <w:r w:rsidR="00504A4B" w:rsidRPr="002021F3">
        <w:rPr>
          <w:rFonts w:asciiTheme="majorBidi" w:hAnsiTheme="majorBidi" w:cstheme="majorBidi"/>
          <w:szCs w:val="24"/>
        </w:rPr>
        <w:t xml:space="preserve"> mediante </w:t>
      </w:r>
      <w:r>
        <w:rPr>
          <w:rFonts w:asciiTheme="majorBidi" w:hAnsiTheme="majorBidi" w:cstheme="majorBidi"/>
          <w:szCs w:val="24"/>
        </w:rPr>
        <w:t xml:space="preserve">un </w:t>
      </w:r>
      <w:r w:rsidR="00504A4B" w:rsidRPr="002021F3">
        <w:rPr>
          <w:rFonts w:asciiTheme="majorBidi" w:hAnsiTheme="majorBidi" w:cstheme="majorBidi"/>
          <w:szCs w:val="24"/>
        </w:rPr>
        <w:t>gestor personal, con residencia en Madrid.</w:t>
      </w:r>
    </w:p>
    <w:p w14:paraId="05C63C42" w14:textId="7B8959EF" w:rsidR="0070510D" w:rsidRPr="00504A4B" w:rsidRDefault="0070510D" w:rsidP="0070510D">
      <w:pPr>
        <w:spacing w:line="276" w:lineRule="auto"/>
        <w:rPr>
          <w:rFonts w:asciiTheme="majorBidi" w:hAnsiTheme="majorBidi" w:cstheme="majorBidi"/>
          <w:szCs w:val="24"/>
        </w:rPr>
      </w:pPr>
      <w:r w:rsidRPr="00504A4B">
        <w:rPr>
          <w:rFonts w:asciiTheme="majorBidi" w:hAnsiTheme="majorBidi" w:cstheme="majorBidi"/>
          <w:b/>
          <w:szCs w:val="24"/>
        </w:rPr>
        <w:t>Cl</w:t>
      </w:r>
      <w:r>
        <w:rPr>
          <w:rFonts w:asciiTheme="majorBidi" w:hAnsiTheme="majorBidi" w:cstheme="majorBidi"/>
          <w:b/>
          <w:szCs w:val="24"/>
        </w:rPr>
        <w:t>á</w:t>
      </w:r>
      <w:r w:rsidRPr="00504A4B">
        <w:rPr>
          <w:rFonts w:asciiTheme="majorBidi" w:hAnsiTheme="majorBidi" w:cstheme="majorBidi"/>
          <w:b/>
          <w:szCs w:val="24"/>
        </w:rPr>
        <w:t xml:space="preserve">usula </w:t>
      </w:r>
      <w:r>
        <w:rPr>
          <w:rFonts w:asciiTheme="majorBidi" w:hAnsiTheme="majorBidi" w:cstheme="majorBidi"/>
          <w:b/>
          <w:szCs w:val="24"/>
        </w:rPr>
        <w:t>4</w:t>
      </w:r>
      <w:r w:rsidRPr="00504A4B">
        <w:rPr>
          <w:rFonts w:asciiTheme="majorBidi" w:hAnsiTheme="majorBidi" w:cstheme="majorBidi"/>
          <w:b/>
          <w:szCs w:val="24"/>
        </w:rPr>
        <w:t xml:space="preserve">. </w:t>
      </w:r>
      <w:r>
        <w:rPr>
          <w:rFonts w:asciiTheme="majorBidi" w:hAnsiTheme="majorBidi" w:cstheme="majorBidi"/>
          <w:b/>
          <w:szCs w:val="24"/>
        </w:rPr>
        <w:t>Contenido de las facturas.</w:t>
      </w:r>
    </w:p>
    <w:p w14:paraId="2F9F7CF1" w14:textId="37602D93" w:rsidR="00504A4B" w:rsidRPr="002021F3" w:rsidRDefault="00504A4B" w:rsidP="0070510D">
      <w:pPr>
        <w:spacing w:line="276" w:lineRule="auto"/>
        <w:rPr>
          <w:rFonts w:asciiTheme="majorBidi" w:hAnsiTheme="majorBidi" w:cstheme="majorBidi"/>
          <w:szCs w:val="24"/>
        </w:rPr>
      </w:pPr>
      <w:r w:rsidRPr="002021F3">
        <w:rPr>
          <w:rFonts w:asciiTheme="majorBidi" w:hAnsiTheme="majorBidi" w:cstheme="majorBidi"/>
          <w:szCs w:val="24"/>
        </w:rPr>
        <w:t>El adjudicatario realizará la facturación mensualmente, al vencimiento de cada período.</w:t>
      </w:r>
      <w:r w:rsidR="0070510D">
        <w:rPr>
          <w:rFonts w:asciiTheme="majorBidi" w:hAnsiTheme="majorBidi" w:cstheme="majorBidi"/>
          <w:szCs w:val="24"/>
        </w:rPr>
        <w:t xml:space="preserve"> </w:t>
      </w:r>
      <w:r w:rsidRPr="002021F3">
        <w:rPr>
          <w:rFonts w:asciiTheme="majorBidi" w:hAnsiTheme="majorBidi" w:cstheme="majorBidi"/>
          <w:szCs w:val="24"/>
        </w:rPr>
        <w:t>Las facturas deberán contener como mínimos los siguientes datos:</w:t>
      </w:r>
    </w:p>
    <w:p w14:paraId="1488F17C" w14:textId="4A167E56" w:rsidR="00504A4B" w:rsidRPr="002021F3" w:rsidRDefault="00504A4B" w:rsidP="0070510D">
      <w:pPr>
        <w:pStyle w:val="Prrafodelista1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</w:rPr>
      </w:pPr>
      <w:r w:rsidRPr="002021F3">
        <w:rPr>
          <w:rFonts w:asciiTheme="majorBidi" w:hAnsiTheme="majorBidi" w:cstheme="majorBidi"/>
          <w:sz w:val="24"/>
          <w:szCs w:val="24"/>
        </w:rPr>
        <w:t>Datos del titular</w:t>
      </w:r>
      <w:r w:rsidR="0070510D">
        <w:rPr>
          <w:rFonts w:asciiTheme="majorBidi" w:hAnsiTheme="majorBidi" w:cstheme="majorBidi"/>
          <w:sz w:val="24"/>
          <w:szCs w:val="24"/>
        </w:rPr>
        <w:t>.</w:t>
      </w:r>
    </w:p>
    <w:p w14:paraId="64A4E3E8" w14:textId="5BF995A9" w:rsidR="00504A4B" w:rsidRPr="002021F3" w:rsidRDefault="00504A4B" w:rsidP="0070510D">
      <w:pPr>
        <w:pStyle w:val="Prrafodelista1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</w:rPr>
      </w:pPr>
      <w:r w:rsidRPr="002021F3">
        <w:rPr>
          <w:rFonts w:asciiTheme="majorBidi" w:hAnsiTheme="majorBidi" w:cstheme="majorBidi"/>
          <w:sz w:val="24"/>
          <w:szCs w:val="24"/>
        </w:rPr>
        <w:t>Código unificado de punto de suministro (CUPS)</w:t>
      </w:r>
      <w:r w:rsidR="0070510D">
        <w:rPr>
          <w:rFonts w:asciiTheme="majorBidi" w:hAnsiTheme="majorBidi" w:cstheme="majorBidi"/>
          <w:sz w:val="24"/>
          <w:szCs w:val="24"/>
        </w:rPr>
        <w:t>.</w:t>
      </w:r>
    </w:p>
    <w:p w14:paraId="24C82E86" w14:textId="10EF6E3B" w:rsidR="00504A4B" w:rsidRPr="002021F3" w:rsidRDefault="00504A4B" w:rsidP="0070510D">
      <w:pPr>
        <w:pStyle w:val="Prrafodelista1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</w:rPr>
      </w:pPr>
      <w:r w:rsidRPr="002021F3">
        <w:rPr>
          <w:rFonts w:asciiTheme="majorBidi" w:hAnsiTheme="majorBidi" w:cstheme="majorBidi"/>
          <w:sz w:val="24"/>
          <w:szCs w:val="24"/>
        </w:rPr>
        <w:t>Dirección del punto de suministro</w:t>
      </w:r>
      <w:r w:rsidR="0070510D">
        <w:rPr>
          <w:rFonts w:asciiTheme="majorBidi" w:hAnsiTheme="majorBidi" w:cstheme="majorBidi"/>
          <w:sz w:val="24"/>
          <w:szCs w:val="24"/>
        </w:rPr>
        <w:t>.</w:t>
      </w:r>
    </w:p>
    <w:p w14:paraId="2EAD8C18" w14:textId="4C648E3F" w:rsidR="00504A4B" w:rsidRPr="002021F3" w:rsidRDefault="00504A4B" w:rsidP="0070510D">
      <w:pPr>
        <w:pStyle w:val="Prrafodelista1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</w:rPr>
      </w:pPr>
      <w:r w:rsidRPr="002021F3">
        <w:rPr>
          <w:rFonts w:asciiTheme="majorBidi" w:hAnsiTheme="majorBidi" w:cstheme="majorBidi"/>
          <w:sz w:val="24"/>
          <w:szCs w:val="24"/>
        </w:rPr>
        <w:t>Fecha de fin de contrato</w:t>
      </w:r>
      <w:r w:rsidR="0070510D">
        <w:rPr>
          <w:rFonts w:asciiTheme="majorBidi" w:hAnsiTheme="majorBidi" w:cstheme="majorBidi"/>
          <w:sz w:val="24"/>
          <w:szCs w:val="24"/>
        </w:rPr>
        <w:t>.</w:t>
      </w:r>
    </w:p>
    <w:p w14:paraId="52E43E26" w14:textId="48B1E54C" w:rsidR="00504A4B" w:rsidRPr="002021F3" w:rsidRDefault="00504A4B" w:rsidP="0070510D">
      <w:pPr>
        <w:pStyle w:val="Prrafodelista1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</w:rPr>
      </w:pPr>
      <w:r w:rsidRPr="002021F3">
        <w:rPr>
          <w:rFonts w:asciiTheme="majorBidi" w:hAnsiTheme="majorBidi" w:cstheme="majorBidi"/>
          <w:sz w:val="24"/>
          <w:szCs w:val="24"/>
        </w:rPr>
        <w:t>Tarifa de acceso contratada</w:t>
      </w:r>
      <w:r w:rsidR="0070510D">
        <w:rPr>
          <w:rFonts w:asciiTheme="majorBidi" w:hAnsiTheme="majorBidi" w:cstheme="majorBidi"/>
          <w:sz w:val="24"/>
          <w:szCs w:val="24"/>
        </w:rPr>
        <w:t>.</w:t>
      </w:r>
    </w:p>
    <w:p w14:paraId="193111F2" w14:textId="6BB6695A" w:rsidR="00504A4B" w:rsidRPr="002021F3" w:rsidRDefault="00504A4B" w:rsidP="0070510D">
      <w:pPr>
        <w:pStyle w:val="Prrafodelista1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</w:rPr>
      </w:pPr>
      <w:r w:rsidRPr="002021F3">
        <w:rPr>
          <w:rFonts w:asciiTheme="majorBidi" w:hAnsiTheme="majorBidi" w:cstheme="majorBidi"/>
          <w:sz w:val="24"/>
          <w:szCs w:val="24"/>
        </w:rPr>
        <w:t>Potencia contratada</w:t>
      </w:r>
      <w:r w:rsidR="0070510D">
        <w:rPr>
          <w:rFonts w:asciiTheme="majorBidi" w:hAnsiTheme="majorBidi" w:cstheme="majorBidi"/>
          <w:sz w:val="24"/>
          <w:szCs w:val="24"/>
        </w:rPr>
        <w:t>.</w:t>
      </w:r>
    </w:p>
    <w:p w14:paraId="0A8A3819" w14:textId="4FF48C3E" w:rsidR="00504A4B" w:rsidRPr="002021F3" w:rsidRDefault="00504A4B" w:rsidP="0070510D">
      <w:pPr>
        <w:pStyle w:val="Prrafodelista1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</w:rPr>
      </w:pPr>
      <w:r w:rsidRPr="002021F3">
        <w:rPr>
          <w:rFonts w:asciiTheme="majorBidi" w:hAnsiTheme="majorBidi" w:cstheme="majorBidi"/>
          <w:sz w:val="24"/>
          <w:szCs w:val="24"/>
        </w:rPr>
        <w:t>Lecturas (anterior y actual) de contadores de energía activa y reactiva en cada periodo tarifario</w:t>
      </w:r>
      <w:r w:rsidR="0070510D">
        <w:rPr>
          <w:rFonts w:asciiTheme="majorBidi" w:hAnsiTheme="majorBidi" w:cstheme="majorBidi"/>
          <w:sz w:val="24"/>
          <w:szCs w:val="24"/>
        </w:rPr>
        <w:t>.</w:t>
      </w:r>
    </w:p>
    <w:p w14:paraId="7396DFFC" w14:textId="77777777" w:rsidR="00504A4B" w:rsidRPr="002021F3" w:rsidRDefault="00504A4B" w:rsidP="0070510D">
      <w:pPr>
        <w:pStyle w:val="Prrafodelista1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</w:rPr>
      </w:pPr>
      <w:r w:rsidRPr="002021F3">
        <w:rPr>
          <w:rFonts w:asciiTheme="majorBidi" w:hAnsiTheme="majorBidi" w:cstheme="majorBidi"/>
          <w:sz w:val="24"/>
          <w:szCs w:val="24"/>
        </w:rPr>
        <w:t>Lecturas de potencia máxima demandada en cada periodo tarifario, si procede</w:t>
      </w:r>
    </w:p>
    <w:p w14:paraId="7E1BBCA1" w14:textId="73B50BC0" w:rsidR="00504A4B" w:rsidRPr="002021F3" w:rsidRDefault="00504A4B" w:rsidP="0070510D">
      <w:pPr>
        <w:pStyle w:val="Prrafodelista1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</w:rPr>
      </w:pPr>
      <w:r w:rsidRPr="002021F3">
        <w:rPr>
          <w:rFonts w:asciiTheme="majorBidi" w:hAnsiTheme="majorBidi" w:cstheme="majorBidi"/>
          <w:sz w:val="24"/>
          <w:szCs w:val="24"/>
        </w:rPr>
        <w:t>Fechas de inicio y fin de las lecturas</w:t>
      </w:r>
      <w:r w:rsidR="0070510D">
        <w:rPr>
          <w:rFonts w:asciiTheme="majorBidi" w:hAnsiTheme="majorBidi" w:cstheme="majorBidi"/>
          <w:sz w:val="24"/>
          <w:szCs w:val="24"/>
        </w:rPr>
        <w:t>.</w:t>
      </w:r>
    </w:p>
    <w:p w14:paraId="092076E2" w14:textId="6891670D" w:rsidR="00504A4B" w:rsidRPr="002021F3" w:rsidRDefault="00504A4B" w:rsidP="0070510D">
      <w:pPr>
        <w:pStyle w:val="Prrafodelista1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</w:rPr>
      </w:pPr>
      <w:r w:rsidRPr="002021F3">
        <w:rPr>
          <w:rFonts w:asciiTheme="majorBidi" w:hAnsiTheme="majorBidi" w:cstheme="majorBidi"/>
          <w:sz w:val="24"/>
          <w:szCs w:val="24"/>
        </w:rPr>
        <w:lastRenderedPageBreak/>
        <w:t xml:space="preserve">Facturación por término de energía: resultado de multiplicar en cada periodo tarifario el precio unitario del kWh (incluido el precio de la energía y los componentes regulados del término de energía, es decir los peajes </w:t>
      </w:r>
      <w:r w:rsidR="009D0C15">
        <w:rPr>
          <w:rFonts w:asciiTheme="majorBidi" w:hAnsiTheme="majorBidi" w:cstheme="majorBidi"/>
          <w:sz w:val="24"/>
          <w:szCs w:val="24"/>
        </w:rPr>
        <w:t>y cargos</w:t>
      </w:r>
      <w:r w:rsidRPr="002021F3">
        <w:rPr>
          <w:rFonts w:asciiTheme="majorBidi" w:hAnsiTheme="majorBidi" w:cstheme="majorBidi"/>
          <w:sz w:val="24"/>
          <w:szCs w:val="24"/>
        </w:rPr>
        <w:t xml:space="preserve"> del término de energía) por el consumo producido en dicho periodo</w:t>
      </w:r>
      <w:r w:rsidR="0070510D">
        <w:rPr>
          <w:rFonts w:asciiTheme="majorBidi" w:hAnsiTheme="majorBidi" w:cstheme="majorBidi"/>
          <w:sz w:val="24"/>
          <w:szCs w:val="24"/>
        </w:rPr>
        <w:t>.</w:t>
      </w:r>
    </w:p>
    <w:p w14:paraId="3D7D8276" w14:textId="77777777" w:rsidR="00504A4B" w:rsidRPr="002021F3" w:rsidRDefault="00504A4B" w:rsidP="0070510D">
      <w:pPr>
        <w:pStyle w:val="Prrafodelista1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</w:rPr>
      </w:pPr>
      <w:r w:rsidRPr="002021F3">
        <w:rPr>
          <w:rFonts w:asciiTheme="majorBidi" w:hAnsiTheme="majorBidi" w:cstheme="majorBidi"/>
          <w:sz w:val="24"/>
          <w:szCs w:val="24"/>
        </w:rPr>
        <w:t>Facturación por potencia: resultado de multiplicar el precio diario (o mensual si fuera el caso) del kW en cada periodo tarifario por la potencia contratada en dicho periodo y por el número de días (o meses si fuera el caso) objeto de facturación.</w:t>
      </w:r>
    </w:p>
    <w:p w14:paraId="1302B1DA" w14:textId="60685E6C" w:rsidR="00504A4B" w:rsidRPr="002021F3" w:rsidRDefault="00504A4B" w:rsidP="0070510D">
      <w:pPr>
        <w:pStyle w:val="Prrafodelista1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</w:rPr>
      </w:pPr>
      <w:r w:rsidRPr="002021F3">
        <w:rPr>
          <w:rFonts w:asciiTheme="majorBidi" w:hAnsiTheme="majorBidi" w:cstheme="majorBidi"/>
          <w:sz w:val="24"/>
          <w:szCs w:val="24"/>
        </w:rPr>
        <w:t>Bonificaciones de potencia o recargos por excesos de potencia, si los hubiera</w:t>
      </w:r>
      <w:r w:rsidR="0070510D">
        <w:rPr>
          <w:rFonts w:asciiTheme="majorBidi" w:hAnsiTheme="majorBidi" w:cstheme="majorBidi"/>
          <w:sz w:val="24"/>
          <w:szCs w:val="24"/>
        </w:rPr>
        <w:t>.</w:t>
      </w:r>
    </w:p>
    <w:p w14:paraId="696DA886" w14:textId="1EFB43FB" w:rsidR="00504A4B" w:rsidRPr="002021F3" w:rsidRDefault="00504A4B" w:rsidP="0070510D">
      <w:pPr>
        <w:pStyle w:val="Prrafodelista1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</w:rPr>
      </w:pPr>
      <w:r w:rsidRPr="002021F3">
        <w:rPr>
          <w:rFonts w:asciiTheme="majorBidi" w:hAnsiTheme="majorBidi" w:cstheme="majorBidi"/>
          <w:sz w:val="24"/>
          <w:szCs w:val="24"/>
        </w:rPr>
        <w:t>Recargos por excesos de consumo de energía reactiva, si los hubiera</w:t>
      </w:r>
      <w:r w:rsidR="0070510D">
        <w:rPr>
          <w:rFonts w:asciiTheme="majorBidi" w:hAnsiTheme="majorBidi" w:cstheme="majorBidi"/>
          <w:sz w:val="24"/>
          <w:szCs w:val="24"/>
        </w:rPr>
        <w:t>.</w:t>
      </w:r>
    </w:p>
    <w:p w14:paraId="2EE6FC97" w14:textId="286BB97E" w:rsidR="00504A4B" w:rsidRPr="002021F3" w:rsidRDefault="00504A4B" w:rsidP="0070510D">
      <w:pPr>
        <w:pStyle w:val="Prrafodelista1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</w:rPr>
      </w:pPr>
      <w:r w:rsidRPr="002021F3">
        <w:rPr>
          <w:rFonts w:asciiTheme="majorBidi" w:hAnsiTheme="majorBidi" w:cstheme="majorBidi"/>
          <w:sz w:val="24"/>
          <w:szCs w:val="24"/>
        </w:rPr>
        <w:t>Importe correspondiente al alquiler del equipo de medida, si los hubiera</w:t>
      </w:r>
      <w:r w:rsidR="0070510D">
        <w:rPr>
          <w:rFonts w:asciiTheme="majorBidi" w:hAnsiTheme="majorBidi" w:cstheme="majorBidi"/>
          <w:sz w:val="24"/>
          <w:szCs w:val="24"/>
        </w:rPr>
        <w:t>.</w:t>
      </w:r>
    </w:p>
    <w:p w14:paraId="6E74F383" w14:textId="47B7F149" w:rsidR="00504A4B" w:rsidRPr="002021F3" w:rsidRDefault="00504A4B" w:rsidP="0070510D">
      <w:pPr>
        <w:pStyle w:val="Prrafodelista1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</w:rPr>
      </w:pPr>
      <w:r w:rsidRPr="002021F3">
        <w:rPr>
          <w:rFonts w:asciiTheme="majorBidi" w:hAnsiTheme="majorBidi" w:cstheme="majorBidi"/>
          <w:sz w:val="24"/>
          <w:szCs w:val="24"/>
        </w:rPr>
        <w:t>Importe correspondiente al impuesto especial de la electricidad</w:t>
      </w:r>
      <w:r w:rsidR="0070510D">
        <w:rPr>
          <w:rFonts w:asciiTheme="majorBidi" w:hAnsiTheme="majorBidi" w:cstheme="majorBidi"/>
          <w:sz w:val="24"/>
          <w:szCs w:val="24"/>
        </w:rPr>
        <w:t>.</w:t>
      </w:r>
    </w:p>
    <w:p w14:paraId="17AECD72" w14:textId="76B0678A" w:rsidR="00504A4B" w:rsidRPr="002021F3" w:rsidRDefault="00504A4B" w:rsidP="0070510D">
      <w:pPr>
        <w:pStyle w:val="Prrafodelista1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</w:rPr>
      </w:pPr>
      <w:r w:rsidRPr="002021F3">
        <w:rPr>
          <w:rFonts w:asciiTheme="majorBidi" w:hAnsiTheme="majorBidi" w:cstheme="majorBidi"/>
          <w:sz w:val="24"/>
          <w:szCs w:val="24"/>
        </w:rPr>
        <w:t>Importe correspondiente al IVA</w:t>
      </w:r>
      <w:r w:rsidR="0070510D">
        <w:rPr>
          <w:rFonts w:asciiTheme="majorBidi" w:hAnsiTheme="majorBidi" w:cstheme="majorBidi"/>
          <w:sz w:val="24"/>
          <w:szCs w:val="24"/>
        </w:rPr>
        <w:t>.</w:t>
      </w:r>
    </w:p>
    <w:p w14:paraId="280C54C6" w14:textId="77777777" w:rsidR="00504A4B" w:rsidRPr="002021F3" w:rsidRDefault="00504A4B" w:rsidP="0070510D">
      <w:pPr>
        <w:pStyle w:val="Prrafodelista1"/>
        <w:numPr>
          <w:ilvl w:val="0"/>
          <w:numId w:val="10"/>
        </w:numPr>
        <w:jc w:val="both"/>
        <w:rPr>
          <w:rFonts w:asciiTheme="majorBidi" w:hAnsiTheme="majorBidi" w:cstheme="majorBidi"/>
          <w:sz w:val="24"/>
          <w:szCs w:val="24"/>
        </w:rPr>
      </w:pPr>
      <w:r w:rsidRPr="002021F3">
        <w:rPr>
          <w:rFonts w:asciiTheme="majorBidi" w:hAnsiTheme="majorBidi" w:cstheme="majorBidi"/>
          <w:sz w:val="24"/>
          <w:szCs w:val="24"/>
        </w:rPr>
        <w:t>Otros importes de facturación, si los hubiera, de acuerdo a la legislación vigente.</w:t>
      </w:r>
    </w:p>
    <w:p w14:paraId="7C1CF8E8" w14:textId="77777777" w:rsidR="00504A4B" w:rsidRPr="002021F3" w:rsidRDefault="00504A4B" w:rsidP="00504A4B">
      <w:pPr>
        <w:spacing w:line="276" w:lineRule="auto"/>
        <w:jc w:val="center"/>
        <w:rPr>
          <w:rFonts w:asciiTheme="majorBidi" w:hAnsiTheme="majorBidi" w:cstheme="majorBidi"/>
          <w:szCs w:val="24"/>
        </w:rPr>
        <w:sectPr w:rsidR="00504A4B" w:rsidRPr="002021F3" w:rsidSect="00C34A19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/>
          <w:pgMar w:top="2096" w:right="1106" w:bottom="1417" w:left="1560" w:header="0" w:footer="567" w:gutter="0"/>
          <w:cols w:space="708"/>
          <w:docGrid w:linePitch="360"/>
        </w:sectPr>
      </w:pPr>
    </w:p>
    <w:p w14:paraId="7E85D955" w14:textId="77777777" w:rsidR="00504A4B" w:rsidRPr="002021F3" w:rsidRDefault="00504A4B" w:rsidP="00504A4B">
      <w:pPr>
        <w:spacing w:line="276" w:lineRule="auto"/>
        <w:rPr>
          <w:rFonts w:asciiTheme="majorBidi" w:hAnsiTheme="majorBidi" w:cstheme="majorBidi"/>
          <w:b/>
          <w:szCs w:val="24"/>
        </w:rPr>
      </w:pPr>
    </w:p>
    <w:p w14:paraId="6FEF9839" w14:textId="77777777" w:rsidR="00504A4B" w:rsidRPr="00C933D2" w:rsidRDefault="00504A4B" w:rsidP="00504A4B">
      <w:pPr>
        <w:spacing w:line="276" w:lineRule="auto"/>
        <w:rPr>
          <w:rFonts w:asciiTheme="majorBidi" w:hAnsiTheme="majorBidi" w:cstheme="majorBidi"/>
          <w:b/>
          <w:bCs/>
          <w:szCs w:val="24"/>
        </w:rPr>
      </w:pPr>
    </w:p>
    <w:p w14:paraId="55AFB6C5" w14:textId="1199E46A" w:rsidR="00504A4B" w:rsidRPr="00C933D2" w:rsidRDefault="00504A4B" w:rsidP="00504A4B">
      <w:pPr>
        <w:spacing w:line="276" w:lineRule="auto"/>
        <w:jc w:val="center"/>
        <w:rPr>
          <w:rFonts w:asciiTheme="majorBidi" w:hAnsiTheme="majorBidi" w:cstheme="majorBidi"/>
          <w:b/>
          <w:bCs/>
          <w:szCs w:val="24"/>
        </w:rPr>
      </w:pPr>
      <w:r w:rsidRPr="00C933D2">
        <w:rPr>
          <w:rFonts w:asciiTheme="majorBidi" w:hAnsiTheme="majorBidi" w:cstheme="majorBidi"/>
          <w:b/>
          <w:bCs/>
          <w:szCs w:val="24"/>
        </w:rPr>
        <w:t>ANEXO I.</w:t>
      </w:r>
      <w:r w:rsidR="006A7E82">
        <w:rPr>
          <w:rFonts w:asciiTheme="majorBidi" w:hAnsiTheme="majorBidi" w:cstheme="majorBidi"/>
          <w:b/>
          <w:bCs/>
          <w:szCs w:val="24"/>
        </w:rPr>
        <w:t>-</w:t>
      </w:r>
      <w:r w:rsidRPr="00C933D2">
        <w:rPr>
          <w:rFonts w:asciiTheme="majorBidi" w:hAnsiTheme="majorBidi" w:cstheme="majorBidi"/>
          <w:b/>
          <w:bCs/>
          <w:szCs w:val="24"/>
        </w:rPr>
        <w:t xml:space="preserve"> DATOS DEL SUMINISTRO</w:t>
      </w:r>
    </w:p>
    <w:p w14:paraId="050C0C74" w14:textId="77777777" w:rsidR="00CE373E" w:rsidRDefault="00CE373E" w:rsidP="00504A4B">
      <w:pPr>
        <w:spacing w:line="276" w:lineRule="auto"/>
        <w:jc w:val="center"/>
        <w:rPr>
          <w:rFonts w:asciiTheme="majorBidi" w:hAnsiTheme="majorBidi" w:cstheme="majorBidi"/>
          <w:szCs w:val="24"/>
        </w:rPr>
      </w:pPr>
    </w:p>
    <w:p w14:paraId="66780E5F" w14:textId="768C5FD4" w:rsidR="00CE373E" w:rsidRDefault="00311FE2" w:rsidP="00CE373E">
      <w:pPr>
        <w:spacing w:line="276" w:lineRule="auto"/>
        <w:jc w:val="center"/>
        <w:rPr>
          <w:rFonts w:asciiTheme="majorBidi" w:hAnsiTheme="majorBidi" w:cstheme="majorBidi"/>
          <w:color w:val="FF0000"/>
          <w:szCs w:val="24"/>
        </w:rPr>
      </w:pPr>
      <w:r w:rsidRPr="00311FE2">
        <w:rPr>
          <w:rFonts w:asciiTheme="majorBidi" w:hAnsiTheme="majorBidi" w:cstheme="majorBidi"/>
          <w:noProof/>
          <w:color w:val="FF0000"/>
          <w:szCs w:val="24"/>
        </w:rPr>
        <w:drawing>
          <wp:inline distT="0" distB="0" distL="0" distR="0" wp14:anchorId="03173EC0" wp14:editId="36607103">
            <wp:extent cx="8459470" cy="529590"/>
            <wp:effectExtent l="0" t="0" r="0" b="381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9470" cy="52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CB967" w14:textId="77777777" w:rsidR="00900442" w:rsidRPr="0067169E" w:rsidRDefault="00900442" w:rsidP="00CE373E">
      <w:pPr>
        <w:spacing w:line="276" w:lineRule="auto"/>
        <w:jc w:val="center"/>
        <w:rPr>
          <w:rFonts w:asciiTheme="majorBidi" w:hAnsiTheme="majorBidi" w:cstheme="majorBidi"/>
          <w:color w:val="FF0000"/>
          <w:szCs w:val="24"/>
        </w:rPr>
      </w:pPr>
    </w:p>
    <w:p w14:paraId="559D35D0" w14:textId="5943D493" w:rsidR="0067169E" w:rsidRDefault="0067169E" w:rsidP="00CE373E">
      <w:pPr>
        <w:spacing w:line="276" w:lineRule="auto"/>
        <w:jc w:val="center"/>
        <w:rPr>
          <w:rFonts w:asciiTheme="majorBidi" w:hAnsiTheme="majorBidi" w:cstheme="majorBidi"/>
          <w:szCs w:val="24"/>
        </w:rPr>
      </w:pPr>
      <w:r w:rsidRPr="00BA288B">
        <w:rPr>
          <w:rFonts w:asciiTheme="majorBidi" w:hAnsiTheme="majorBidi" w:cstheme="majorBidi"/>
          <w:szCs w:val="24"/>
        </w:rPr>
        <w:t>Los consumos estimados de cara a valora</w:t>
      </w:r>
      <w:r w:rsidR="00F94B38" w:rsidRPr="00BA288B">
        <w:rPr>
          <w:rFonts w:asciiTheme="majorBidi" w:hAnsiTheme="majorBidi" w:cstheme="majorBidi"/>
          <w:szCs w:val="24"/>
        </w:rPr>
        <w:t>r</w:t>
      </w:r>
      <w:r w:rsidRPr="00BA288B">
        <w:rPr>
          <w:rFonts w:asciiTheme="majorBidi" w:hAnsiTheme="majorBidi" w:cstheme="majorBidi"/>
          <w:szCs w:val="24"/>
        </w:rPr>
        <w:t xml:space="preserve"> la oferta son:</w:t>
      </w:r>
    </w:p>
    <w:p w14:paraId="1A3EE013" w14:textId="77777777" w:rsidR="00900442" w:rsidRPr="00BA288B" w:rsidRDefault="00900442" w:rsidP="00CE373E">
      <w:pPr>
        <w:spacing w:line="276" w:lineRule="auto"/>
        <w:jc w:val="center"/>
        <w:rPr>
          <w:rFonts w:asciiTheme="majorBidi" w:hAnsiTheme="majorBidi" w:cstheme="majorBidi"/>
          <w:szCs w:val="24"/>
        </w:rPr>
      </w:pPr>
    </w:p>
    <w:p w14:paraId="5C79D386" w14:textId="0E29F78B" w:rsidR="0067169E" w:rsidRPr="0067169E" w:rsidRDefault="00311FE2" w:rsidP="00CE373E">
      <w:pPr>
        <w:spacing w:line="276" w:lineRule="auto"/>
        <w:jc w:val="center"/>
        <w:rPr>
          <w:rFonts w:asciiTheme="majorBidi" w:hAnsiTheme="majorBidi" w:cstheme="majorBidi"/>
          <w:color w:val="FF0000"/>
          <w:szCs w:val="24"/>
        </w:rPr>
      </w:pPr>
      <w:r w:rsidRPr="00311FE2">
        <w:rPr>
          <w:rFonts w:asciiTheme="majorBidi" w:hAnsiTheme="majorBidi" w:cstheme="majorBidi"/>
          <w:noProof/>
          <w:color w:val="FF0000"/>
          <w:szCs w:val="24"/>
        </w:rPr>
        <w:drawing>
          <wp:inline distT="0" distB="0" distL="0" distR="0" wp14:anchorId="5C139BAB" wp14:editId="77C9A774">
            <wp:extent cx="6305550" cy="762000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A6421" w14:textId="77777777" w:rsidR="00504A4B" w:rsidRPr="002021F3" w:rsidRDefault="00504A4B" w:rsidP="00504A4B">
      <w:pPr>
        <w:spacing w:line="276" w:lineRule="auto"/>
        <w:rPr>
          <w:rFonts w:asciiTheme="majorBidi" w:hAnsiTheme="majorBidi" w:cstheme="majorBidi"/>
          <w:szCs w:val="24"/>
        </w:rPr>
      </w:pPr>
    </w:p>
    <w:p w14:paraId="785032A2" w14:textId="77777777" w:rsidR="00504A4B" w:rsidRPr="002021F3" w:rsidRDefault="00504A4B" w:rsidP="00504A4B">
      <w:pPr>
        <w:spacing w:line="276" w:lineRule="auto"/>
        <w:rPr>
          <w:rFonts w:asciiTheme="majorBidi" w:hAnsiTheme="majorBidi" w:cstheme="majorBidi"/>
          <w:szCs w:val="24"/>
        </w:rPr>
        <w:sectPr w:rsidR="00504A4B" w:rsidRPr="002021F3" w:rsidSect="00C34A19">
          <w:pgSz w:w="16838" w:h="11906" w:orient="landscape"/>
          <w:pgMar w:top="1559" w:right="2098" w:bottom="1106" w:left="1418" w:header="0" w:footer="709" w:gutter="0"/>
          <w:cols w:space="708"/>
          <w:docGrid w:linePitch="360"/>
        </w:sectPr>
      </w:pPr>
    </w:p>
    <w:p w14:paraId="7672E0F5" w14:textId="201D0C12" w:rsidR="00504A4B" w:rsidRPr="00A465D8" w:rsidRDefault="00504A4B" w:rsidP="00504A4B">
      <w:pPr>
        <w:spacing w:line="276" w:lineRule="auto"/>
        <w:jc w:val="center"/>
        <w:rPr>
          <w:rFonts w:asciiTheme="majorBidi" w:hAnsiTheme="majorBidi" w:cstheme="majorBidi"/>
          <w:b/>
          <w:bCs/>
          <w:szCs w:val="24"/>
          <w:lang w:val="pt-PT"/>
        </w:rPr>
      </w:pPr>
      <w:r w:rsidRPr="00A465D8">
        <w:rPr>
          <w:rFonts w:asciiTheme="majorBidi" w:hAnsiTheme="majorBidi" w:cstheme="majorBidi"/>
          <w:b/>
          <w:bCs/>
          <w:szCs w:val="24"/>
          <w:lang w:val="pt-PT"/>
        </w:rPr>
        <w:lastRenderedPageBreak/>
        <w:t>ANEXO II.</w:t>
      </w:r>
      <w:r w:rsidR="006A7E82" w:rsidRPr="00A465D8">
        <w:rPr>
          <w:rFonts w:asciiTheme="majorBidi" w:hAnsiTheme="majorBidi" w:cstheme="majorBidi"/>
          <w:b/>
          <w:bCs/>
          <w:szCs w:val="24"/>
          <w:lang w:val="pt-PT"/>
        </w:rPr>
        <w:t>-</w:t>
      </w:r>
      <w:r w:rsidRPr="00A465D8">
        <w:rPr>
          <w:rFonts w:asciiTheme="majorBidi" w:hAnsiTheme="majorBidi" w:cstheme="majorBidi"/>
          <w:b/>
          <w:bCs/>
          <w:szCs w:val="24"/>
          <w:lang w:val="pt-PT"/>
        </w:rPr>
        <w:t xml:space="preserve"> CONSUMOS MENSUALIZADOS POR SUMINISTRO TARIFA 3.0</w:t>
      </w:r>
      <w:r w:rsidR="007D4C12" w:rsidRPr="00A465D8">
        <w:rPr>
          <w:rFonts w:asciiTheme="majorBidi" w:hAnsiTheme="majorBidi" w:cstheme="majorBidi"/>
          <w:b/>
          <w:bCs/>
          <w:szCs w:val="24"/>
          <w:lang w:val="pt-PT"/>
        </w:rPr>
        <w:t>TD</w:t>
      </w:r>
    </w:p>
    <w:p w14:paraId="302CFD82" w14:textId="77777777" w:rsidR="00504A4B" w:rsidRPr="00A465D8" w:rsidRDefault="00504A4B" w:rsidP="00504A4B">
      <w:pPr>
        <w:spacing w:line="276" w:lineRule="auto"/>
        <w:jc w:val="center"/>
        <w:rPr>
          <w:rFonts w:asciiTheme="majorBidi" w:hAnsiTheme="majorBidi" w:cstheme="majorBidi"/>
          <w:szCs w:val="24"/>
          <w:lang w:val="pt-PT"/>
        </w:rPr>
      </w:pPr>
    </w:p>
    <w:p w14:paraId="49062A49" w14:textId="6B846C0B" w:rsidR="00504A4B" w:rsidRPr="00A465D8" w:rsidRDefault="00504A4B" w:rsidP="00504A4B">
      <w:pPr>
        <w:spacing w:line="276" w:lineRule="auto"/>
        <w:jc w:val="center"/>
        <w:rPr>
          <w:rFonts w:asciiTheme="majorBidi" w:hAnsiTheme="majorBidi" w:cstheme="majorBidi"/>
          <w:szCs w:val="24"/>
          <w:lang w:val="pt-PT"/>
        </w:rPr>
      </w:pPr>
    </w:p>
    <w:p w14:paraId="0C9105FE" w14:textId="5E541911" w:rsidR="00504A4B" w:rsidRPr="002021F3" w:rsidRDefault="00311FE2" w:rsidP="00504A4B">
      <w:pPr>
        <w:spacing w:line="276" w:lineRule="auto"/>
        <w:jc w:val="center"/>
        <w:rPr>
          <w:rFonts w:asciiTheme="majorBidi" w:hAnsiTheme="majorBidi" w:cstheme="majorBidi"/>
          <w:szCs w:val="24"/>
        </w:rPr>
      </w:pPr>
      <w:r w:rsidRPr="00311FE2">
        <w:rPr>
          <w:rFonts w:asciiTheme="majorBidi" w:hAnsiTheme="majorBidi" w:cstheme="majorBidi"/>
          <w:noProof/>
          <w:szCs w:val="24"/>
        </w:rPr>
        <w:drawing>
          <wp:inline distT="0" distB="0" distL="0" distR="0" wp14:anchorId="5635B57B" wp14:editId="15193795">
            <wp:extent cx="5867400" cy="4707890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470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FA216" w14:textId="77777777" w:rsidR="00504A4B" w:rsidRPr="002021F3" w:rsidRDefault="00504A4B" w:rsidP="00504A4B">
      <w:pPr>
        <w:spacing w:line="276" w:lineRule="auto"/>
        <w:jc w:val="center"/>
        <w:rPr>
          <w:rFonts w:asciiTheme="majorBidi" w:hAnsiTheme="majorBidi" w:cstheme="majorBidi"/>
          <w:szCs w:val="24"/>
        </w:rPr>
      </w:pPr>
    </w:p>
    <w:p w14:paraId="311A0467" w14:textId="77777777" w:rsidR="00504A4B" w:rsidRPr="002021F3" w:rsidRDefault="00504A4B" w:rsidP="00504A4B">
      <w:pPr>
        <w:spacing w:line="276" w:lineRule="auto"/>
        <w:rPr>
          <w:rFonts w:asciiTheme="majorBidi" w:hAnsiTheme="majorBidi" w:cstheme="majorBidi"/>
          <w:szCs w:val="24"/>
        </w:rPr>
      </w:pPr>
    </w:p>
    <w:p w14:paraId="4E27B829" w14:textId="77777777" w:rsidR="00504A4B" w:rsidRPr="002021F3" w:rsidRDefault="00504A4B" w:rsidP="00504A4B">
      <w:pPr>
        <w:spacing w:line="276" w:lineRule="auto"/>
        <w:rPr>
          <w:rFonts w:asciiTheme="majorBidi" w:hAnsiTheme="majorBidi" w:cstheme="majorBidi"/>
          <w:b/>
          <w:szCs w:val="24"/>
        </w:rPr>
      </w:pPr>
    </w:p>
    <w:p w14:paraId="0FEA8AEF" w14:textId="77777777" w:rsidR="006C1959" w:rsidRDefault="006C1959"/>
    <w:sectPr w:rsidR="006C1959" w:rsidSect="001F33C5">
      <w:pgSz w:w="11906" w:h="16838"/>
      <w:pgMar w:top="2096" w:right="1106" w:bottom="1417" w:left="156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394C61" w14:textId="77777777" w:rsidR="00920217" w:rsidRDefault="00920217">
      <w:pPr>
        <w:spacing w:before="0" w:after="0" w:line="240" w:lineRule="auto"/>
      </w:pPr>
      <w:r>
        <w:separator/>
      </w:r>
    </w:p>
  </w:endnote>
  <w:endnote w:type="continuationSeparator" w:id="0">
    <w:p w14:paraId="15F0A06E" w14:textId="77777777" w:rsidR="00920217" w:rsidRDefault="0092021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11930" w14:textId="77777777" w:rsidR="008B535F" w:rsidRDefault="008B535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D70AD" w14:textId="77777777" w:rsidR="008B535F" w:rsidRDefault="006A7E82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F57584">
      <w:rPr>
        <w:noProof/>
      </w:rPr>
      <w:t>6</w:t>
    </w:r>
    <w:r>
      <w:fldChar w:fldCharType="end"/>
    </w:r>
  </w:p>
  <w:p w14:paraId="2ED89D93" w14:textId="77777777" w:rsidR="008B535F" w:rsidRDefault="008B535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B4561" w14:textId="77777777" w:rsidR="008B535F" w:rsidRDefault="008B535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062600" w14:textId="77777777" w:rsidR="00920217" w:rsidRDefault="00920217">
      <w:pPr>
        <w:spacing w:before="0" w:after="0" w:line="240" w:lineRule="auto"/>
      </w:pPr>
      <w:r>
        <w:separator/>
      </w:r>
    </w:p>
  </w:footnote>
  <w:footnote w:type="continuationSeparator" w:id="0">
    <w:p w14:paraId="59C3FFAE" w14:textId="77777777" w:rsidR="00920217" w:rsidRDefault="0092021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0E771" w14:textId="77777777" w:rsidR="008B535F" w:rsidRDefault="008B535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0301A" w14:textId="77777777" w:rsidR="008B535F" w:rsidRDefault="008B535F" w:rsidP="00B85542">
    <w:pPr>
      <w:pStyle w:val="Encabezado"/>
    </w:pPr>
  </w:p>
  <w:p w14:paraId="22722A7E" w14:textId="77777777" w:rsidR="008B535F" w:rsidRDefault="008B535F" w:rsidP="0030589F">
    <w:pPr>
      <w:pStyle w:val="Encabezado"/>
      <w:ind w:left="-85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1A0E" w14:textId="77777777" w:rsidR="008B535F" w:rsidRDefault="008B535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F0807"/>
    <w:multiLevelType w:val="hybridMultilevel"/>
    <w:tmpl w:val="66ECE620"/>
    <w:lvl w:ilvl="0" w:tplc="72D83EBA">
      <w:start w:val="4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SymbolMT" w:hAnsi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92F1A"/>
    <w:multiLevelType w:val="multilevel"/>
    <w:tmpl w:val="5F4E8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28216B"/>
    <w:multiLevelType w:val="hybridMultilevel"/>
    <w:tmpl w:val="6F268974"/>
    <w:lvl w:ilvl="0" w:tplc="06CC1F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D6F42"/>
    <w:multiLevelType w:val="hybridMultilevel"/>
    <w:tmpl w:val="067C3252"/>
    <w:lvl w:ilvl="0" w:tplc="72D83EBA">
      <w:start w:val="4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eastAsia="SymbolMT" w:hAnsi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51867"/>
    <w:multiLevelType w:val="hybridMultilevel"/>
    <w:tmpl w:val="99B2C818"/>
    <w:lvl w:ilvl="0" w:tplc="1A105B2C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6B589C"/>
    <w:multiLevelType w:val="hybridMultilevel"/>
    <w:tmpl w:val="26DC27C2"/>
    <w:lvl w:ilvl="0" w:tplc="72D83EBA">
      <w:start w:val="4"/>
      <w:numFmt w:val="bullet"/>
      <w:lvlText w:val="-"/>
      <w:lvlJc w:val="left"/>
      <w:pPr>
        <w:ind w:left="1428" w:hanging="360"/>
      </w:pPr>
      <w:rPr>
        <w:rFonts w:ascii="Arial" w:eastAsia="SymbolMT" w:hAnsi="Aria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55779C3"/>
    <w:multiLevelType w:val="hybridMultilevel"/>
    <w:tmpl w:val="EE32838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30C7430"/>
    <w:multiLevelType w:val="hybridMultilevel"/>
    <w:tmpl w:val="28D4A718"/>
    <w:lvl w:ilvl="0" w:tplc="0C0A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8917C76"/>
    <w:multiLevelType w:val="hybridMultilevel"/>
    <w:tmpl w:val="4138598A"/>
    <w:lvl w:ilvl="0" w:tplc="0C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51A5C8E"/>
    <w:multiLevelType w:val="hybridMultilevel"/>
    <w:tmpl w:val="120225D2"/>
    <w:lvl w:ilvl="0" w:tplc="1A105B2C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F367D"/>
    <w:multiLevelType w:val="multilevel"/>
    <w:tmpl w:val="27E02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067194404">
    <w:abstractNumId w:val="9"/>
  </w:num>
  <w:num w:numId="2" w16cid:durableId="1397314149">
    <w:abstractNumId w:val="4"/>
  </w:num>
  <w:num w:numId="3" w16cid:durableId="496961844">
    <w:abstractNumId w:val="6"/>
  </w:num>
  <w:num w:numId="4" w16cid:durableId="2117098939">
    <w:abstractNumId w:val="8"/>
  </w:num>
  <w:num w:numId="5" w16cid:durableId="1256551720">
    <w:abstractNumId w:val="3"/>
  </w:num>
  <w:num w:numId="6" w16cid:durableId="1135949902">
    <w:abstractNumId w:val="0"/>
  </w:num>
  <w:num w:numId="7" w16cid:durableId="454982488">
    <w:abstractNumId w:val="2"/>
  </w:num>
  <w:num w:numId="8" w16cid:durableId="781261553">
    <w:abstractNumId w:val="10"/>
  </w:num>
  <w:num w:numId="9" w16cid:durableId="1394740189">
    <w:abstractNumId w:val="5"/>
  </w:num>
  <w:num w:numId="10" w16cid:durableId="2013530306">
    <w:abstractNumId w:val="7"/>
  </w:num>
  <w:num w:numId="11" w16cid:durableId="792213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9c0ab3f7-b658-4c24-90c8-6088a7d449e0"/>
  </w:docVars>
  <w:rsids>
    <w:rsidRoot w:val="00504A4B"/>
    <w:rsid w:val="000B34AE"/>
    <w:rsid w:val="00190677"/>
    <w:rsid w:val="00247730"/>
    <w:rsid w:val="00284748"/>
    <w:rsid w:val="00311FE2"/>
    <w:rsid w:val="0033190E"/>
    <w:rsid w:val="003F354D"/>
    <w:rsid w:val="003F7FCD"/>
    <w:rsid w:val="00440567"/>
    <w:rsid w:val="004E20E7"/>
    <w:rsid w:val="004F75B6"/>
    <w:rsid w:val="00504A4B"/>
    <w:rsid w:val="00555308"/>
    <w:rsid w:val="005C0511"/>
    <w:rsid w:val="005F143E"/>
    <w:rsid w:val="006038D8"/>
    <w:rsid w:val="00653550"/>
    <w:rsid w:val="0067169E"/>
    <w:rsid w:val="006A7E82"/>
    <w:rsid w:val="006C1959"/>
    <w:rsid w:val="006F579D"/>
    <w:rsid w:val="0070510D"/>
    <w:rsid w:val="007C15F6"/>
    <w:rsid w:val="007D4C12"/>
    <w:rsid w:val="007D70AB"/>
    <w:rsid w:val="008325C7"/>
    <w:rsid w:val="00856E0A"/>
    <w:rsid w:val="0086732C"/>
    <w:rsid w:val="008B535F"/>
    <w:rsid w:val="008D68AF"/>
    <w:rsid w:val="00900442"/>
    <w:rsid w:val="00920217"/>
    <w:rsid w:val="0094569C"/>
    <w:rsid w:val="00965E8B"/>
    <w:rsid w:val="009D0C15"/>
    <w:rsid w:val="00A465D8"/>
    <w:rsid w:val="00AF45DC"/>
    <w:rsid w:val="00BA288B"/>
    <w:rsid w:val="00C236C4"/>
    <w:rsid w:val="00C716FF"/>
    <w:rsid w:val="00C81A75"/>
    <w:rsid w:val="00CE373E"/>
    <w:rsid w:val="00D32DC6"/>
    <w:rsid w:val="00D41E8D"/>
    <w:rsid w:val="00E65714"/>
    <w:rsid w:val="00EA2984"/>
    <w:rsid w:val="00EE4CF1"/>
    <w:rsid w:val="00F04309"/>
    <w:rsid w:val="00F57584"/>
    <w:rsid w:val="00F9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77AF9"/>
  <w15:chartTrackingRefBased/>
  <w15:docId w15:val="{BBF73E70-2879-469B-B5CC-60A741BAC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4A4B"/>
    <w:pPr>
      <w:spacing w:before="200" w:after="200" w:line="360" w:lineRule="auto"/>
      <w:jc w:val="both"/>
    </w:pPr>
    <w:rPr>
      <w:rFonts w:ascii="Times New Roman" w:eastAsia="Times New Roman" w:hAnsi="Times New Roman" w:cs="Tahoma"/>
      <w:sz w:val="24"/>
      <w:szCs w:val="20"/>
      <w:lang w:eastAsia="es-ES"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504A4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04A4B"/>
    <w:rPr>
      <w:rFonts w:ascii="Times New Roman" w:eastAsia="Times New Roman" w:hAnsi="Times New Roman" w:cs="Tahoma"/>
      <w:sz w:val="24"/>
      <w:szCs w:val="20"/>
      <w:lang w:eastAsia="es-ES" w:bidi="ar-SA"/>
    </w:rPr>
  </w:style>
  <w:style w:type="paragraph" w:styleId="Piedepgina">
    <w:name w:val="footer"/>
    <w:basedOn w:val="Normal"/>
    <w:link w:val="PiedepginaCar"/>
    <w:uiPriority w:val="99"/>
    <w:rsid w:val="00504A4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04A4B"/>
    <w:rPr>
      <w:rFonts w:ascii="Times New Roman" w:eastAsia="Times New Roman" w:hAnsi="Times New Roman" w:cs="Tahoma"/>
      <w:sz w:val="24"/>
      <w:szCs w:val="20"/>
      <w:lang w:eastAsia="es-ES" w:bidi="ar-SA"/>
    </w:rPr>
  </w:style>
  <w:style w:type="table" w:styleId="Tablaconcuadrcula">
    <w:name w:val="Table Grid"/>
    <w:basedOn w:val="Tablanormal"/>
    <w:uiPriority w:val="99"/>
    <w:rsid w:val="00504A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504A4B"/>
    <w:pPr>
      <w:spacing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Default">
    <w:name w:val="Default"/>
    <w:rsid w:val="00504A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 w:bidi="ar-SA"/>
    </w:rPr>
  </w:style>
  <w:style w:type="paragraph" w:styleId="Prrafodelista">
    <w:name w:val="List Paragraph"/>
    <w:basedOn w:val="Normal"/>
    <w:uiPriority w:val="34"/>
    <w:qFormat/>
    <w:rsid w:val="00504A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01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e.es/buscar/act.php?id=BOE-A-2007-13024" TargetMode="External"/><Relationship Id="rId13" Type="http://schemas.openxmlformats.org/officeDocument/2006/relationships/hyperlink" Target="https://www.boe.es/buscar/doc.php?id=BOE-A-2021-4239" TargetMode="External"/><Relationship Id="rId18" Type="http://schemas.openxmlformats.org/officeDocument/2006/relationships/header" Target="header2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jpeg"/><Relationship Id="rId12" Type="http://schemas.openxmlformats.org/officeDocument/2006/relationships/hyperlink" Target="https://nexusenergia.us8.list-manage.com/track/click?u=ba1224b7a8b8c23446696f5ca&amp;id=cbd2a9217b&amp;e=3625124091" TargetMode="External"/><Relationship Id="rId17" Type="http://schemas.openxmlformats.org/officeDocument/2006/relationships/header" Target="header1.xml"/><Relationship Id="rId25" Type="http://schemas.openxmlformats.org/officeDocument/2006/relationships/image" Target="media/image4.emf"/><Relationship Id="rId2" Type="http://schemas.openxmlformats.org/officeDocument/2006/relationships/styles" Target="styles.xml"/><Relationship Id="rId16" Type="http://schemas.openxmlformats.org/officeDocument/2006/relationships/hyperlink" Target="https://www.boe.es/diario_boe/txt.php?id=BOE-A-2021-14974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nexusenergia.us8.list-manage.com/track/click?u=ba1224b7a8b8c23446696f5ca&amp;id=2f77038917&amp;e=3625124091" TargetMode="External"/><Relationship Id="rId24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hyperlink" Target="https://www.boe.es/diario_boe/txt.php?id=BOE-A-2021-7120" TargetMode="External"/><Relationship Id="rId23" Type="http://schemas.openxmlformats.org/officeDocument/2006/relationships/image" Target="media/image2.emf"/><Relationship Id="rId10" Type="http://schemas.openxmlformats.org/officeDocument/2006/relationships/hyperlink" Target="https://www.boe.es/buscar/act.php?id=BOE-A-2014-5655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boe.es/buscar/act.php?id=BOE-A-2013-13645" TargetMode="External"/><Relationship Id="rId14" Type="http://schemas.openxmlformats.org/officeDocument/2006/relationships/hyperlink" Target="https://nexusenergia.us8.list-manage.com/track/click?u=ba1224b7a8b8c23446696f5ca&amp;id=2b364f2e49&amp;e=3625124091" TargetMode="External"/><Relationship Id="rId22" Type="http://schemas.openxmlformats.org/officeDocument/2006/relationships/footer" Target="footer3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1685</Words>
  <Characters>9270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</dc:creator>
  <cp:keywords/>
  <dc:description/>
  <cp:lastModifiedBy>Ibor Fernandes Romero</cp:lastModifiedBy>
  <cp:revision>2</cp:revision>
  <dcterms:created xsi:type="dcterms:W3CDTF">2025-01-28T12:54:00Z</dcterms:created>
  <dcterms:modified xsi:type="dcterms:W3CDTF">2025-01-28T12:54:00Z</dcterms:modified>
</cp:coreProperties>
</file>