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F07F5E" w14:textId="14684744" w:rsidR="00FC0B58" w:rsidRPr="00C62B84" w:rsidRDefault="00FC0B58" w:rsidP="00FC0B58">
      <w:pPr>
        <w:spacing w:after="0" w:line="276" w:lineRule="auto"/>
        <w:ind w:right="707"/>
        <w:jc w:val="both"/>
        <w:rPr>
          <w:rFonts w:eastAsia="Calibri" w:cstheme="minorHAnsi"/>
          <w:b/>
          <w:bCs/>
          <w:smallCaps/>
          <w:color w:val="5B9BD5"/>
          <w:spacing w:val="5"/>
        </w:rPr>
      </w:pPr>
      <w:r w:rsidRPr="00C62B84">
        <w:rPr>
          <w:rFonts w:eastAsia="Calibri" w:cstheme="minorHAnsi"/>
          <w:b/>
          <w:bCs/>
          <w:smallCaps/>
          <w:color w:val="5B9BD5"/>
          <w:spacing w:val="5"/>
        </w:rPr>
        <w:t xml:space="preserve">Nº EXPEDIENTE: </w:t>
      </w:r>
      <w:r w:rsidR="00F67645">
        <w:rPr>
          <w:rFonts w:eastAsia="Calibri" w:cstheme="minorHAnsi"/>
          <w:b/>
          <w:bCs/>
          <w:smallCaps/>
          <w:color w:val="5B9BD5"/>
          <w:spacing w:val="5"/>
        </w:rPr>
        <w:t>PA SUM 2025-1 SIMP</w:t>
      </w:r>
    </w:p>
    <w:p w14:paraId="3E5336CE" w14:textId="77777777" w:rsidR="00FC0B58" w:rsidRPr="00C62B84" w:rsidRDefault="00FC0B58" w:rsidP="00FC0B58">
      <w:pPr>
        <w:spacing w:after="0" w:line="276" w:lineRule="auto"/>
        <w:ind w:right="707"/>
        <w:jc w:val="both"/>
        <w:rPr>
          <w:rFonts w:eastAsia="Calibri" w:cstheme="minorHAnsi"/>
          <w:b/>
          <w:bCs/>
          <w:smallCaps/>
          <w:color w:val="5B9BD5"/>
          <w:spacing w:val="5"/>
        </w:rPr>
      </w:pPr>
    </w:p>
    <w:p w14:paraId="196A47D8" w14:textId="13068A79" w:rsidR="00FC0B58" w:rsidRPr="00113CAE" w:rsidRDefault="00FC0B58" w:rsidP="00FC0B58">
      <w:pPr>
        <w:spacing w:after="0"/>
        <w:jc w:val="both"/>
        <w:rPr>
          <w:rFonts w:eastAsia="Calibri" w:cstheme="minorHAnsi"/>
          <w:b/>
          <w:bCs/>
          <w:i/>
          <w:iCs/>
          <w:smallCaps/>
          <w:color w:val="5B9BD5"/>
          <w:spacing w:val="5"/>
        </w:rPr>
      </w:pPr>
      <w:r w:rsidRPr="00C62B84">
        <w:rPr>
          <w:rFonts w:eastAsia="Calibri" w:cstheme="minorHAnsi"/>
          <w:b/>
          <w:bCs/>
          <w:smallCaps/>
          <w:color w:val="5B9BD5"/>
          <w:spacing w:val="5"/>
        </w:rPr>
        <w:t xml:space="preserve">MEMORIA JUSTIFICATIVA DE LA NECESIDAD Y ECONÓMICA PARA LA CONTRATACIÓN DEL </w:t>
      </w:r>
      <w:r w:rsidR="00F67645" w:rsidRPr="00F67645">
        <w:rPr>
          <w:rFonts w:eastAsia="Calibri" w:cstheme="minorHAnsi"/>
          <w:b/>
          <w:bCs/>
          <w:smallCaps/>
          <w:color w:val="5B9BD5"/>
          <w:spacing w:val="5"/>
        </w:rPr>
        <w:t>SUMINISTRO DE ADQUISICIÓN DE MATERIAL PARA ESTUDIOS TRANSCRIPCIONALES PARA EL DESARROLLO DEL PROYECTO PI23/01054 DE LA CONVOCATORIA PARA SUBVENCIONES DE PROYECTOS DE I+D+I EN SALUD DE LA CONVOCATORIA 2023 DE LA ACCIÓN ESTRATÉGICA EN SALUD A CONTRATAR POR LA FUNDACIÓN PARA LA INVESTIGACIÓN BIOMÉDICA DEL HOSPITAL UNIVERSITARIO PUERTA DE HIERRO – MAJADAHONDA</w:t>
      </w:r>
      <w:r w:rsidRPr="00C62B84">
        <w:rPr>
          <w:rFonts w:eastAsia="Calibri" w:cstheme="minorHAnsi"/>
          <w:b/>
          <w:bCs/>
          <w:smallCaps/>
          <w:color w:val="5B9BD5"/>
          <w:spacing w:val="5"/>
        </w:rPr>
        <w:t>.</w:t>
      </w:r>
    </w:p>
    <w:p w14:paraId="1D52D621" w14:textId="77777777" w:rsidR="00FC0B58" w:rsidRPr="00C62B84" w:rsidRDefault="00FC0B58" w:rsidP="00FC0B58">
      <w:pPr>
        <w:autoSpaceDE w:val="0"/>
        <w:autoSpaceDN w:val="0"/>
        <w:adjustRightInd w:val="0"/>
        <w:spacing w:after="0" w:line="240" w:lineRule="auto"/>
        <w:jc w:val="both"/>
        <w:rPr>
          <w:rFonts w:eastAsia="Calibri" w:cstheme="minorHAnsi"/>
          <w:smallCaps/>
          <w:color w:val="5B9BD5"/>
          <w:spacing w:val="5"/>
        </w:rPr>
      </w:pPr>
    </w:p>
    <w:p w14:paraId="0DED6D5C"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1.-NECESIDAD Y FINALIDAD INSTITUCIONAL</w:t>
      </w:r>
    </w:p>
    <w:p w14:paraId="68890CD4" w14:textId="77777777" w:rsidR="00FC0B58" w:rsidRDefault="00FC0B58" w:rsidP="00FC0B58">
      <w:pPr>
        <w:spacing w:after="0"/>
        <w:jc w:val="both"/>
        <w:rPr>
          <w:rFonts w:eastAsia="Calibri" w:cstheme="minorHAnsi"/>
          <w:b/>
          <w:bCs/>
          <w:smallCaps/>
          <w:color w:val="5B9BD5"/>
          <w:spacing w:val="5"/>
          <w:highlight w:val="yellow"/>
        </w:rPr>
      </w:pPr>
    </w:p>
    <w:p w14:paraId="6CBE19DF" w14:textId="2F6883EC" w:rsidR="00FC0B58" w:rsidRPr="00765E7A" w:rsidRDefault="00FC0B58" w:rsidP="00FC0B58">
      <w:pPr>
        <w:spacing w:after="0"/>
        <w:jc w:val="both"/>
        <w:rPr>
          <w:rFonts w:eastAsia="Calibri" w:cstheme="minorHAnsi"/>
        </w:rPr>
      </w:pPr>
      <w:r w:rsidRPr="00765E7A">
        <w:rPr>
          <w:rFonts w:eastAsia="Calibri" w:cstheme="minorHAnsi"/>
        </w:rPr>
        <w:t xml:space="preserve">De conformidad con las competencias y funciones que los Estatutos de la Fundación atribuyen a la misma, le corresponden a ésta promover la </w:t>
      </w:r>
      <w:r w:rsidR="005B02F9" w:rsidRPr="00765E7A">
        <w:rPr>
          <w:rFonts w:eastAsia="Calibri" w:cstheme="minorHAnsi"/>
        </w:rPr>
        <w:t>investigación científica</w:t>
      </w:r>
      <w:r w:rsidRPr="00765E7A">
        <w:rPr>
          <w:rFonts w:eastAsia="Calibri" w:cstheme="minorHAnsi"/>
        </w:rPr>
        <w:t xml:space="preserve"> – técnica, así como, la formación y docencia en el área de ciencias de la salud, con el objetivo de potenciar la calidad asistencial. En aras de poder dar cumplimiento a tal propósito, la FIBHUPH necesita contratar el suministro</w:t>
      </w:r>
      <w:r>
        <w:rPr>
          <w:rFonts w:eastAsia="Calibri" w:cstheme="minorHAnsi"/>
        </w:rPr>
        <w:t xml:space="preserve"> para la adquisición de material para estudios </w:t>
      </w:r>
      <w:proofErr w:type="spellStart"/>
      <w:r>
        <w:rPr>
          <w:rFonts w:eastAsia="Calibri" w:cstheme="minorHAnsi"/>
        </w:rPr>
        <w:t>transcripcionales</w:t>
      </w:r>
      <w:proofErr w:type="spellEnd"/>
      <w:r>
        <w:rPr>
          <w:rFonts w:eastAsia="Calibri" w:cstheme="minorHAnsi"/>
        </w:rPr>
        <w:t xml:space="preserve"> para el de</w:t>
      </w:r>
      <w:r w:rsidR="00F67645">
        <w:rPr>
          <w:rFonts w:eastAsia="Calibri" w:cstheme="minorHAnsi"/>
        </w:rPr>
        <w:t>sarrollo del proyecto PI23/01054</w:t>
      </w:r>
      <w:r>
        <w:rPr>
          <w:rFonts w:eastAsia="Calibri" w:cstheme="minorHAnsi"/>
        </w:rPr>
        <w:t xml:space="preserve">. </w:t>
      </w:r>
    </w:p>
    <w:p w14:paraId="53F37FB0" w14:textId="77777777" w:rsidR="00FC0B58" w:rsidRPr="00C62B84" w:rsidRDefault="00FC0B58" w:rsidP="00FC0B58">
      <w:pPr>
        <w:autoSpaceDE w:val="0"/>
        <w:autoSpaceDN w:val="0"/>
        <w:adjustRightInd w:val="0"/>
        <w:spacing w:after="0" w:line="240" w:lineRule="auto"/>
        <w:jc w:val="both"/>
        <w:rPr>
          <w:rFonts w:eastAsia="Calibri" w:cstheme="minorHAnsi"/>
          <w:highlight w:val="yellow"/>
          <w:lang w:val="es-ES_tradnl"/>
        </w:rPr>
      </w:pPr>
    </w:p>
    <w:p w14:paraId="1B3DD063" w14:textId="77777777" w:rsidR="005B02F9"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2.- OBJETO DEL CONTRATO Y JUSTIFICACIÓN DE LA NECESIDAD</w:t>
      </w:r>
    </w:p>
    <w:p w14:paraId="4089F5DA" w14:textId="77777777" w:rsidR="005B02F9" w:rsidRDefault="005B02F9" w:rsidP="00FC0B58">
      <w:pPr>
        <w:autoSpaceDE w:val="0"/>
        <w:autoSpaceDN w:val="0"/>
        <w:adjustRightInd w:val="0"/>
        <w:spacing w:after="0" w:line="240" w:lineRule="auto"/>
        <w:jc w:val="both"/>
        <w:rPr>
          <w:rFonts w:eastAsia="Calibri" w:cstheme="minorHAnsi"/>
          <w:b/>
          <w:bCs/>
          <w:smallCaps/>
          <w:color w:val="5B9BD5"/>
          <w:spacing w:val="5"/>
        </w:rPr>
      </w:pPr>
    </w:p>
    <w:p w14:paraId="07A989B6" w14:textId="5E376D50" w:rsidR="005B02F9" w:rsidRPr="00113CAE" w:rsidRDefault="005B02F9" w:rsidP="00113CAE">
      <w:pPr>
        <w:spacing w:after="0"/>
        <w:jc w:val="both"/>
        <w:rPr>
          <w:rFonts w:eastAsia="Calibri" w:cstheme="minorHAnsi"/>
        </w:rPr>
      </w:pPr>
      <w:r w:rsidRPr="00113CAE">
        <w:rPr>
          <w:rFonts w:eastAsia="Calibri" w:cstheme="minorHAnsi"/>
        </w:rPr>
        <w:t xml:space="preserve">El objeto del presente contrato es establecer las condiciones técnicas y económicas que han de regir el suministro de reactivos y fungible, para el Laboratorio de Investigación en Linfomas (IDIPHISA) del Servicio de Oncología Médica del Hospital Universitario Puerta de Hierro - Majadahonda </w:t>
      </w:r>
      <w:bookmarkStart w:id="0" w:name="_Hlk184109839"/>
      <w:bookmarkStart w:id="1" w:name="_Hlk184108550"/>
      <w:r w:rsidRPr="00113CAE">
        <w:rPr>
          <w:rFonts w:eastAsia="Calibri" w:cstheme="minorHAnsi"/>
        </w:rPr>
        <w:t xml:space="preserve">para analizar los perfiles de expresión génica espacial en muestras de biopsia de tejidos </w:t>
      </w:r>
      <w:bookmarkEnd w:id="0"/>
      <w:r w:rsidRPr="00113CAE">
        <w:rPr>
          <w:rFonts w:eastAsia="Calibri" w:cstheme="minorHAnsi"/>
        </w:rPr>
        <w:t xml:space="preserve">recogidos al diagnóstico del linfoma folicular, en recaída y/o en el diagnóstico de transformación histológica a linfoma B difuso de célula grande. Dichos reactivos y fungibles deben ser compatibles con el sistema </w:t>
      </w:r>
      <w:proofErr w:type="spellStart"/>
      <w:r w:rsidRPr="00113CAE">
        <w:rPr>
          <w:rFonts w:eastAsia="Calibri" w:cstheme="minorHAnsi"/>
        </w:rPr>
        <w:t>Visium</w:t>
      </w:r>
      <w:proofErr w:type="spellEnd"/>
      <w:r w:rsidRPr="00113CAE">
        <w:rPr>
          <w:rFonts w:eastAsia="Calibri" w:cstheme="minorHAnsi"/>
        </w:rPr>
        <w:t xml:space="preserve"> de 10x </w:t>
      </w:r>
      <w:proofErr w:type="spellStart"/>
      <w:r w:rsidRPr="00113CAE">
        <w:rPr>
          <w:rFonts w:eastAsia="Calibri" w:cstheme="minorHAnsi"/>
        </w:rPr>
        <w:t>Genomics</w:t>
      </w:r>
      <w:proofErr w:type="spellEnd"/>
      <w:r w:rsidRPr="00113CAE">
        <w:rPr>
          <w:rFonts w:eastAsia="Calibri" w:cstheme="minorHAnsi"/>
        </w:rPr>
        <w:t xml:space="preserve"> que ha sido usado en el laboratorio, habiendo analizado previamente muestras de 4 pacientes. Se necesita contratar reactivos del mismo sistema usado en el proyecto piloto para analizar 16 muestras adicionales</w:t>
      </w:r>
      <w:bookmarkEnd w:id="1"/>
      <w:r w:rsidRPr="00113CAE">
        <w:rPr>
          <w:rFonts w:eastAsia="Calibri" w:cstheme="minorHAnsi"/>
        </w:rPr>
        <w:t xml:space="preserve">. </w:t>
      </w:r>
    </w:p>
    <w:p w14:paraId="3F76708F" w14:textId="2D70195E"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 xml:space="preserve"> </w:t>
      </w:r>
    </w:p>
    <w:p w14:paraId="3EB03905"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3.- JUSTIFICACIÓN DE LA NO DIVISIÓN EN LOTES</w:t>
      </w:r>
    </w:p>
    <w:p w14:paraId="09883795"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p>
    <w:p w14:paraId="49C8FC89" w14:textId="77777777" w:rsidR="00FC0B58" w:rsidRPr="00A066C5" w:rsidRDefault="00FC0B58" w:rsidP="00FC0B58">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De acuerdo con lo establecido en el artículo 99.3 de la Ley 9/2017, de 8 de noviembre, de Contratos del Sector Público, por la que se transponen al ordenamiento jurídico español las Directivas del Parlamento Europeo y del Consejo 2014/23/UE y 2014/24/UE, de 26 de febrero de 2014 (en adelante LCSP), la naturaleza o el objeto del contrato no permiten la adquisición independiente del suministro mediante su división en lotes.</w:t>
      </w:r>
    </w:p>
    <w:p w14:paraId="3E8CF075" w14:textId="77777777" w:rsidR="00FC0B58" w:rsidRPr="00A066C5" w:rsidRDefault="00FC0B58" w:rsidP="00FC0B58">
      <w:pPr>
        <w:pBdr>
          <w:top w:val="nil"/>
          <w:left w:val="nil"/>
          <w:bottom w:val="nil"/>
          <w:right w:val="nil"/>
          <w:between w:val="nil"/>
        </w:pBdr>
        <w:spacing w:after="0" w:line="240" w:lineRule="auto"/>
        <w:jc w:val="both"/>
        <w:rPr>
          <w:rFonts w:eastAsia="Calibri" w:cstheme="minorHAnsi"/>
        </w:rPr>
      </w:pPr>
    </w:p>
    <w:p w14:paraId="3FF1866E" w14:textId="77777777" w:rsidR="00FC0B58" w:rsidRPr="00A066C5" w:rsidRDefault="00FC0B58" w:rsidP="00FC0B58">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 xml:space="preserve">La motivación de integrar la prestación objeto del contrato en un único lote se basa en el principio rector básico de la contratación pública, que es la eficiente utilización de los fondos públicos y, que conlleva, buscar la mayor racionalización en la ejecución de las prestaciones. </w:t>
      </w:r>
    </w:p>
    <w:p w14:paraId="2FBF0034" w14:textId="77777777" w:rsidR="00FC0B58" w:rsidRPr="00A066C5" w:rsidRDefault="00FC0B58" w:rsidP="00FC0B58">
      <w:pPr>
        <w:pBdr>
          <w:top w:val="nil"/>
          <w:left w:val="nil"/>
          <w:bottom w:val="nil"/>
          <w:right w:val="nil"/>
          <w:between w:val="nil"/>
        </w:pBdr>
        <w:spacing w:after="0" w:line="240" w:lineRule="auto"/>
        <w:jc w:val="both"/>
        <w:rPr>
          <w:rFonts w:eastAsia="Calibri" w:cstheme="minorHAnsi"/>
        </w:rPr>
      </w:pPr>
    </w:p>
    <w:p w14:paraId="4D77A75A" w14:textId="77777777" w:rsidR="00FC0B58" w:rsidRDefault="00FC0B58" w:rsidP="00FC0B58">
      <w:pPr>
        <w:pBdr>
          <w:top w:val="nil"/>
          <w:left w:val="nil"/>
          <w:bottom w:val="nil"/>
          <w:right w:val="nil"/>
          <w:between w:val="nil"/>
        </w:pBdr>
        <w:spacing w:after="0" w:line="240" w:lineRule="auto"/>
        <w:jc w:val="both"/>
        <w:rPr>
          <w:rFonts w:eastAsia="Calibri" w:cstheme="minorHAnsi"/>
        </w:rPr>
      </w:pPr>
      <w:r w:rsidRPr="00A066C5">
        <w:rPr>
          <w:rFonts w:eastAsia="Calibri" w:cstheme="minorHAnsi"/>
        </w:rPr>
        <w:t xml:space="preserve">La integración del suministro en un único lote permitirá optimizar los recursos y mejorar la eficacia y eficiencia de los mismos ya que en virtud de la interrelación que existe entre las </w:t>
      </w:r>
      <w:r w:rsidRPr="00A066C5">
        <w:rPr>
          <w:rFonts w:eastAsia="Calibri" w:cstheme="minorHAnsi"/>
        </w:rPr>
        <w:lastRenderedPageBreak/>
        <w:t>prestaciones, resulta imprescindible a nivel operativo, que la totalidad del contrato sea ejecutado por una sola empresa.</w:t>
      </w:r>
    </w:p>
    <w:p w14:paraId="025C0715" w14:textId="77777777" w:rsidR="00FC0B58" w:rsidRDefault="00FC0B58" w:rsidP="00FC0B58">
      <w:pPr>
        <w:pBdr>
          <w:top w:val="nil"/>
          <w:left w:val="nil"/>
          <w:bottom w:val="nil"/>
          <w:right w:val="nil"/>
          <w:between w:val="nil"/>
        </w:pBdr>
        <w:spacing w:after="0" w:line="240" w:lineRule="auto"/>
        <w:jc w:val="both"/>
        <w:rPr>
          <w:rFonts w:eastAsia="Calibri" w:cstheme="minorHAnsi"/>
        </w:rPr>
      </w:pPr>
    </w:p>
    <w:p w14:paraId="4FC5825A"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4.- CODIFICACIÓN DEL OBJETO DEL CONTRATO</w:t>
      </w:r>
    </w:p>
    <w:p w14:paraId="67269148"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p>
    <w:p w14:paraId="37834022" w14:textId="0E874297" w:rsidR="00F22FBF" w:rsidRDefault="00FC0B58" w:rsidP="00FC0B58">
      <w:pPr>
        <w:pBdr>
          <w:top w:val="nil"/>
          <w:left w:val="nil"/>
          <w:bottom w:val="nil"/>
          <w:right w:val="nil"/>
          <w:between w:val="nil"/>
        </w:pBdr>
        <w:spacing w:after="0" w:line="240" w:lineRule="auto"/>
        <w:jc w:val="both"/>
        <w:rPr>
          <w:rFonts w:eastAsia="Calibri" w:cstheme="minorHAnsi"/>
        </w:rPr>
      </w:pPr>
      <w:r w:rsidRPr="00C62B84">
        <w:rPr>
          <w:rFonts w:eastAsia="Calibri" w:cstheme="minorHAnsi"/>
        </w:rPr>
        <w:t xml:space="preserve">A los efectos del Reglamento (CE) Nº 213/2008, de 28 de noviembre de 2007, sobre la codificación correspondiente a la nomenclatura del vocabulario Común de Contratos Públicos (CPV), </w:t>
      </w:r>
      <w:r w:rsidR="00754637" w:rsidRPr="00C62B84">
        <w:rPr>
          <w:rFonts w:eastAsia="Calibri" w:cstheme="minorHAnsi"/>
        </w:rPr>
        <w:t>les</w:t>
      </w:r>
      <w:r w:rsidRPr="00C62B84">
        <w:rPr>
          <w:rFonts w:eastAsia="Calibri" w:cstheme="minorHAnsi"/>
        </w:rPr>
        <w:t xml:space="preserve"> corresponde </w:t>
      </w:r>
      <w:r>
        <w:rPr>
          <w:rFonts w:eastAsia="Calibri" w:cstheme="minorHAnsi"/>
        </w:rPr>
        <w:t xml:space="preserve">a los siguientes códigos: </w:t>
      </w:r>
    </w:p>
    <w:p w14:paraId="55AD20AA" w14:textId="77777777" w:rsidR="00F22FBF" w:rsidRDefault="00F22FBF" w:rsidP="00FC0B58">
      <w:pPr>
        <w:pBdr>
          <w:top w:val="nil"/>
          <w:left w:val="nil"/>
          <w:bottom w:val="nil"/>
          <w:right w:val="nil"/>
          <w:between w:val="nil"/>
        </w:pBdr>
        <w:spacing w:after="0" w:line="240" w:lineRule="auto"/>
        <w:jc w:val="both"/>
        <w:rPr>
          <w:rFonts w:eastAsia="Calibri" w:cstheme="minorHAnsi"/>
        </w:rPr>
      </w:pPr>
    </w:p>
    <w:p w14:paraId="203B7FA8" w14:textId="77777777" w:rsidR="00F22FBF" w:rsidRDefault="00FC0B58" w:rsidP="00FC0B58">
      <w:pPr>
        <w:pBdr>
          <w:top w:val="nil"/>
          <w:left w:val="nil"/>
          <w:bottom w:val="nil"/>
          <w:right w:val="nil"/>
          <w:between w:val="nil"/>
        </w:pBdr>
        <w:spacing w:after="0" w:line="240" w:lineRule="auto"/>
        <w:jc w:val="both"/>
        <w:rPr>
          <w:rFonts w:eastAsia="Calibri" w:cstheme="minorHAnsi"/>
        </w:rPr>
      </w:pPr>
      <w:r w:rsidRPr="00FC0B58">
        <w:rPr>
          <w:rFonts w:eastAsia="Calibri" w:cstheme="minorHAnsi"/>
        </w:rPr>
        <w:t>33696300-8    Reactivo químico</w:t>
      </w:r>
      <w:r w:rsidR="005B02F9">
        <w:rPr>
          <w:rFonts w:eastAsia="Calibri" w:cstheme="minorHAnsi"/>
        </w:rPr>
        <w:t xml:space="preserve"> </w:t>
      </w:r>
    </w:p>
    <w:p w14:paraId="4DA06826" w14:textId="0C793038" w:rsidR="00FC0B58" w:rsidRPr="00C62B84" w:rsidRDefault="00FC0B58" w:rsidP="00FC0B58">
      <w:pPr>
        <w:pBdr>
          <w:top w:val="nil"/>
          <w:left w:val="nil"/>
          <w:bottom w:val="nil"/>
          <w:right w:val="nil"/>
          <w:between w:val="nil"/>
        </w:pBdr>
        <w:spacing w:after="0" w:line="240" w:lineRule="auto"/>
        <w:jc w:val="both"/>
        <w:rPr>
          <w:rFonts w:eastAsia="Calibri" w:cstheme="minorHAnsi"/>
        </w:rPr>
      </w:pPr>
      <w:r w:rsidRPr="00FC0B58">
        <w:rPr>
          <w:rFonts w:eastAsia="Calibri" w:cstheme="minorHAnsi"/>
        </w:rPr>
        <w:t>33696500-0    Reactivos de laboratorio</w:t>
      </w:r>
      <w:r w:rsidRPr="00C62B84">
        <w:rPr>
          <w:rFonts w:eastAsia="Calibri" w:cstheme="minorHAnsi"/>
        </w:rPr>
        <w:t>.</w:t>
      </w:r>
    </w:p>
    <w:p w14:paraId="1DC85059"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p>
    <w:p w14:paraId="28BF384E"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5.- CARACTERÍSTICAS DEL SUMINISTRO</w:t>
      </w:r>
    </w:p>
    <w:p w14:paraId="4ADFD73C"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p>
    <w:p w14:paraId="0850FCE8"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r w:rsidRPr="00C62B84">
        <w:rPr>
          <w:rFonts w:eastAsia="Calibri" w:cstheme="minorHAnsi"/>
        </w:rPr>
        <w:t>Las características técnicas del suministro que integra el expediente de contratación, se encuentran detalladas en el pliego técnico.</w:t>
      </w:r>
    </w:p>
    <w:p w14:paraId="2602F72C"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p>
    <w:p w14:paraId="5AD110E0"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6.- PLAZO DE EJECUCIÓN</w:t>
      </w:r>
    </w:p>
    <w:p w14:paraId="21813C91"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p>
    <w:p w14:paraId="75FD3C52" w14:textId="64A91D36" w:rsidR="00FC0B58" w:rsidRDefault="00FC0B58" w:rsidP="00FC0B58">
      <w:pPr>
        <w:pBdr>
          <w:top w:val="nil"/>
          <w:left w:val="nil"/>
          <w:bottom w:val="nil"/>
          <w:right w:val="nil"/>
          <w:between w:val="nil"/>
        </w:pBdr>
        <w:spacing w:after="0" w:line="240" w:lineRule="auto"/>
        <w:jc w:val="both"/>
        <w:rPr>
          <w:rFonts w:eastAsia="Calibri" w:cstheme="minorHAnsi"/>
        </w:rPr>
      </w:pPr>
      <w:r w:rsidRPr="00E74D31">
        <w:rPr>
          <w:rFonts w:eastAsia="Calibri" w:cstheme="minorHAnsi"/>
        </w:rPr>
        <w:t xml:space="preserve">Se estima que el plazo de ejecución del contrato coincidirá con la duración efectiva del proyecto de Investigación para el que se realiza el servicio </w:t>
      </w:r>
      <w:r w:rsidR="00B05401">
        <w:rPr>
          <w:rFonts w:eastAsia="Calibri" w:cstheme="minorHAnsi"/>
        </w:rPr>
        <w:t xml:space="preserve">cuya finalización está prevista a los 18 meses </w:t>
      </w:r>
      <w:r w:rsidR="00F22FBF" w:rsidRPr="00E74D31">
        <w:rPr>
          <w:rFonts w:eastAsia="Calibri" w:cstheme="minorHAnsi"/>
        </w:rPr>
        <w:t>desde</w:t>
      </w:r>
      <w:r w:rsidRPr="00E74D31">
        <w:rPr>
          <w:rFonts w:eastAsia="Calibri" w:cstheme="minorHAnsi"/>
        </w:rPr>
        <w:t xml:space="preserve"> la fecha de adjudicación o hasta el consumo del total de reactivos.</w:t>
      </w:r>
    </w:p>
    <w:p w14:paraId="0F001818"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p>
    <w:p w14:paraId="11A8FF67" w14:textId="7777777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7.- PRESUPUESTO Y VALOR ESTIMADO DEL CONTRATO</w:t>
      </w:r>
    </w:p>
    <w:p w14:paraId="1B5ACC1E"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b/>
          <w:bCs/>
        </w:rPr>
      </w:pPr>
    </w:p>
    <w:p w14:paraId="05554922" w14:textId="77777777" w:rsidR="00FC0B58" w:rsidRPr="00C62B84" w:rsidRDefault="00FC0B58" w:rsidP="00FC0B58">
      <w:pPr>
        <w:pBdr>
          <w:top w:val="nil"/>
          <w:left w:val="nil"/>
          <w:bottom w:val="nil"/>
          <w:right w:val="nil"/>
          <w:between w:val="nil"/>
        </w:pBdr>
        <w:spacing w:after="0" w:line="240" w:lineRule="auto"/>
        <w:jc w:val="both"/>
        <w:rPr>
          <w:rFonts w:eastAsia="Calibri" w:cstheme="minorHAnsi"/>
        </w:rPr>
      </w:pPr>
      <w:r w:rsidRPr="00C62B84">
        <w:rPr>
          <w:rFonts w:eastAsia="Calibri" w:cstheme="minorHAnsi"/>
        </w:rPr>
        <w:t>Para el cálculo del importe del contrato, se han tenido en cuenta los precios ofertados por proveedores del sector y el análisis del mercado obtenido por la revisión de diferentes adjudicaciones en concursos de similares características.</w:t>
      </w:r>
    </w:p>
    <w:p w14:paraId="33E3539A" w14:textId="4456C58E"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El presupuesto máximo de licitación del suministro asciende a la cantidad de </w:t>
      </w:r>
      <w:r w:rsidR="00B05401" w:rsidRPr="00340C91">
        <w:rPr>
          <w:spacing w:val="-3"/>
        </w:rPr>
        <w:t xml:space="preserve">62.536,00 </w:t>
      </w:r>
      <w:r w:rsidRPr="00C62B84">
        <w:rPr>
          <w:rFonts w:eastAsia="Calibri" w:cstheme="minorHAnsi"/>
        </w:rPr>
        <w:t xml:space="preserve">euros, (Base imponible), IVA excluido, el IVA tiene un importe de </w:t>
      </w:r>
      <w:r w:rsidR="00B05401" w:rsidRPr="00340C91">
        <w:rPr>
          <w:spacing w:val="-3"/>
        </w:rPr>
        <w:t xml:space="preserve">13.132,56 </w:t>
      </w:r>
      <w:r w:rsidRPr="00C62B84">
        <w:rPr>
          <w:rFonts w:eastAsia="Calibri" w:cstheme="minorHAnsi"/>
        </w:rPr>
        <w:t xml:space="preserve">euros, lo que supone un presupuesto de euros </w:t>
      </w:r>
      <w:r w:rsidR="00B05401" w:rsidRPr="00340C91">
        <w:rPr>
          <w:spacing w:val="-3"/>
        </w:rPr>
        <w:t xml:space="preserve">75.668,56 </w:t>
      </w:r>
      <w:r w:rsidR="00F22FBF">
        <w:rPr>
          <w:rFonts w:eastAsia="Calibri" w:cstheme="minorHAnsi"/>
        </w:rPr>
        <w:t>€</w:t>
      </w:r>
      <w:r w:rsidR="0075185E">
        <w:rPr>
          <w:rFonts w:eastAsia="Calibri" w:cstheme="minorHAnsi"/>
        </w:rPr>
        <w:t xml:space="preserve"> IVA</w:t>
      </w:r>
      <w:r w:rsidRPr="00C62B84">
        <w:rPr>
          <w:rFonts w:eastAsia="Calibri" w:cstheme="minorHAnsi"/>
        </w:rPr>
        <w:t xml:space="preserve"> incluido.</w:t>
      </w:r>
    </w:p>
    <w:p w14:paraId="330B01E7"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El contrato no prevé la revisión de precios, al tratarse de una entrega única.</w:t>
      </w:r>
    </w:p>
    <w:p w14:paraId="3ECF07ED" w14:textId="035186B7" w:rsidR="00C56BB3" w:rsidRDefault="00C56BB3" w:rsidP="005441FA">
      <w:pPr>
        <w:pBdr>
          <w:top w:val="nil"/>
          <w:left w:val="nil"/>
          <w:bottom w:val="nil"/>
          <w:right w:val="nil"/>
          <w:between w:val="nil"/>
        </w:pBdr>
        <w:spacing w:before="240" w:after="0" w:line="240" w:lineRule="auto"/>
        <w:jc w:val="both"/>
        <w:rPr>
          <w:rFonts w:eastAsia="Calibri" w:cstheme="minorHAnsi"/>
        </w:rPr>
      </w:pPr>
      <w:r w:rsidRPr="00C56BB3">
        <w:rPr>
          <w:rFonts w:eastAsia="Calibri" w:cstheme="minorHAnsi"/>
        </w:rPr>
        <w:t>Para el cálculo del valor estimado (</w:t>
      </w:r>
      <w:r w:rsidR="00B05401" w:rsidRPr="00AC1D88">
        <w:t>68</w:t>
      </w:r>
      <w:r w:rsidR="00B05401">
        <w:t>.</w:t>
      </w:r>
      <w:r w:rsidR="00B05401" w:rsidRPr="00AC1D88">
        <w:t>789,6</w:t>
      </w:r>
      <w:r w:rsidR="00B05401">
        <w:t>0</w:t>
      </w:r>
      <w:r w:rsidR="00B05401">
        <w:t xml:space="preserve"> </w:t>
      </w:r>
      <w:r w:rsidRPr="00C56BB3">
        <w:rPr>
          <w:rFonts w:eastAsia="Calibri" w:cstheme="minorHAnsi"/>
        </w:rPr>
        <w:t>euros) se ha tenido en consideración el importe total, sin incluir el Impuesto sobre el Valor Añadido, así como el posible incremento del número de unidades hasta el porcentaje del DIEZ POR CIENTO (10%) del precio del contrato sin necesidad de tramitar un expediente de modificación, dado que la determinación del precio del contrato se ha realizado con base a precios unitarios. El valor estimado contempla el importe máximo previsto para el contrato e incluye la duración inicial y las prórrogas y/o modificaciones previstas, si las hubiere.</w:t>
      </w:r>
    </w:p>
    <w:p w14:paraId="708EEB58" w14:textId="487154CD" w:rsidR="0067653C" w:rsidRDefault="00FC0B58" w:rsidP="005441FA">
      <w:pPr>
        <w:pBdr>
          <w:top w:val="nil"/>
          <w:left w:val="nil"/>
          <w:bottom w:val="nil"/>
          <w:right w:val="nil"/>
          <w:between w:val="nil"/>
        </w:pBdr>
        <w:spacing w:before="240" w:after="0" w:line="240" w:lineRule="auto"/>
        <w:jc w:val="both"/>
        <w:rPr>
          <w:rFonts w:eastAsia="Calibri" w:cstheme="minorHAnsi"/>
        </w:rPr>
      </w:pPr>
      <w:r w:rsidRPr="00831FF4">
        <w:rPr>
          <w:rFonts w:eastAsia="Calibri" w:cstheme="minorHAnsi"/>
        </w:rPr>
        <w:t xml:space="preserve">El presupuesto de este contrato está financiado a través de </w:t>
      </w:r>
      <w:r w:rsidR="005441FA" w:rsidRPr="005441FA">
        <w:rPr>
          <w:rFonts w:eastAsia="Calibri" w:cstheme="minorHAnsi"/>
        </w:rPr>
        <w:t>convocatoria para subvenciones de proyectos de I+D+I en salud de la convocatoria 2023 de la Acción Estratégica en Salud.</w:t>
      </w:r>
    </w:p>
    <w:p w14:paraId="766EC0A9" w14:textId="77777777" w:rsidR="005441FA" w:rsidRDefault="005441FA" w:rsidP="005441FA">
      <w:pPr>
        <w:pBdr>
          <w:top w:val="nil"/>
          <w:left w:val="nil"/>
          <w:bottom w:val="nil"/>
          <w:right w:val="nil"/>
          <w:between w:val="nil"/>
        </w:pBdr>
        <w:spacing w:before="240" w:after="0" w:line="240" w:lineRule="auto"/>
        <w:jc w:val="both"/>
        <w:rPr>
          <w:rFonts w:eastAsia="Calibri" w:cstheme="minorHAnsi"/>
          <w:b/>
          <w:bCs/>
          <w:smallCaps/>
          <w:color w:val="5B9BD5"/>
          <w:spacing w:val="5"/>
        </w:rPr>
      </w:pPr>
    </w:p>
    <w:p w14:paraId="110924D0" w14:textId="0794BFCE"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lastRenderedPageBreak/>
        <w:t xml:space="preserve">8.- PROCEDIMIENTO, FORMA DE ADJUDICACIÓN Y CRITERIOS DE ADJUDICACIÓN </w:t>
      </w:r>
    </w:p>
    <w:p w14:paraId="26D5F2AA"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A los efectos previstos en el art. 116. 4 de la LCSP, el contrato proyectado se trata de un contrato de suministro y su adjudicación se realizará por procedimiento abierto simplificado, al ser el procedimiento de elección previsto en la LCSP, en el que todo empresario interesado podrá presentar una proposición, queda excluida toda negociación de los términos del contrato. </w:t>
      </w:r>
    </w:p>
    <w:p w14:paraId="78CB38F3"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En el Pliego de Cláusulas Administrativas Particulares, se definen los criterios de adjudicación con los requisitos exigidos en la LCSP art. 116.4 LCSP y 145.5 y 6 LCSP (vinculados al objeto del contrato, objetivos y respetando los principios de igualdad, no discriminación, transparencia y proporcionalidad) y para, de conformidad con la Directiva europea de contratación 2014/24, conseguir una adjudicación basada en la mejor calidad/precio desde el punto de vista técnico, alejándose la selección basada únicamente en precio. </w:t>
      </w:r>
    </w:p>
    <w:p w14:paraId="2754B046"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Cada uno de los criterios cualitativos seleccionados, están relacionados con el objeto del contrato y se han formulado teniendo en cuenta que el contrato proyectado es susceptible de ser mejorado por la aportación de prestaciones complementarias, fijando unos criterios objetivos que mejoran la calidad. </w:t>
      </w:r>
    </w:p>
    <w:p w14:paraId="76FB39C7"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Para la valoración de las proposiciones y la determinación de la oferta más ventajosa, se atenderá a una pluralidad de criterios en base a la mejor calidad precio, con arreglo a criterios cualitativos y económicos de acuerdo con lo dispuesto en el art. 145 de la LCSP. Con ello se pretende asegurar la máxima objetividad en la valoración al referirse a características que mejoren las prestaciones del contrato y que pueden valorarse mediante cifras o porcentajes. </w:t>
      </w:r>
    </w:p>
    <w:p w14:paraId="1EE48B05" w14:textId="70461A86" w:rsidR="00FC0B58" w:rsidRPr="002B4EEB" w:rsidRDefault="00FC0B58" w:rsidP="00FC0B58">
      <w:pPr>
        <w:pBdr>
          <w:top w:val="nil"/>
          <w:left w:val="nil"/>
          <w:bottom w:val="nil"/>
          <w:right w:val="nil"/>
          <w:between w:val="nil"/>
        </w:pBdr>
        <w:spacing w:before="240" w:after="0" w:line="240" w:lineRule="auto"/>
        <w:jc w:val="both"/>
        <w:rPr>
          <w:rFonts w:eastAsia="Calibri" w:cstheme="minorHAnsi"/>
        </w:rPr>
      </w:pPr>
      <w:r w:rsidRPr="002B4EEB">
        <w:rPr>
          <w:rFonts w:eastAsia="Calibri" w:cstheme="minorHAnsi"/>
        </w:rPr>
        <w:t>En consecuencia, los criterios para valorar son:</w:t>
      </w:r>
    </w:p>
    <w:p w14:paraId="702830C3" w14:textId="77777777" w:rsidR="002B4EEB" w:rsidRPr="002B4EEB" w:rsidRDefault="002B4EEB" w:rsidP="002B4EEB">
      <w:pPr>
        <w:widowControl w:val="0"/>
        <w:suppressAutoHyphens/>
        <w:autoSpaceDE w:val="0"/>
        <w:autoSpaceDN w:val="0"/>
        <w:adjustRightInd w:val="0"/>
        <w:rPr>
          <w:rFonts w:cstheme="minorHAnsi"/>
          <w:b/>
          <w:bCs/>
          <w:spacing w:val="-3"/>
        </w:rPr>
      </w:pPr>
      <w:r w:rsidRPr="002B4EEB">
        <w:rPr>
          <w:rFonts w:cstheme="minorHAnsi"/>
          <w:b/>
          <w:bCs/>
          <w:spacing w:val="-3"/>
        </w:rPr>
        <w:t xml:space="preserve">Criterio/s relacionado/s con los costes: </w:t>
      </w:r>
      <w:r w:rsidRPr="002B4EEB">
        <w:rPr>
          <w:rStyle w:val="Refdenotaalpie"/>
          <w:rFonts w:cstheme="minorHAnsi"/>
          <w:b/>
          <w:bCs/>
          <w:spacing w:val="-3"/>
        </w:rPr>
        <w:footnoteReference w:id="1"/>
      </w:r>
      <w:r w:rsidRPr="002B4EEB">
        <w:rPr>
          <w:rFonts w:cstheme="minorHAnsi"/>
          <w:b/>
          <w:bCs/>
          <w:spacing w:val="-3"/>
        </w:rPr>
        <w:t xml:space="preserve"> Oferta económica (70 puntos)</w:t>
      </w:r>
    </w:p>
    <w:p w14:paraId="50E3A55F" w14:textId="77777777" w:rsidR="002B4EEB" w:rsidRPr="002B4EEB" w:rsidRDefault="002B4EEB" w:rsidP="002B4EEB">
      <w:pPr>
        <w:widowControl w:val="0"/>
        <w:suppressAutoHyphens/>
        <w:autoSpaceDE w:val="0"/>
        <w:autoSpaceDN w:val="0"/>
        <w:adjustRightInd w:val="0"/>
        <w:rPr>
          <w:rFonts w:cstheme="minorHAnsi"/>
          <w:spacing w:val="-3"/>
        </w:rPr>
      </w:pPr>
      <w:r w:rsidRPr="002B4EEB">
        <w:rPr>
          <w:rFonts w:cstheme="minorHAnsi"/>
          <w:spacing w:val="-3"/>
        </w:rPr>
        <w:t xml:space="preserve">Estos puntos se distribuirán del siguiente modo: </w:t>
      </w:r>
    </w:p>
    <w:p w14:paraId="2721E09C" w14:textId="77777777" w:rsidR="002B4EEB" w:rsidRPr="002B4EEB" w:rsidRDefault="002B4EEB" w:rsidP="002B4EEB">
      <w:pPr>
        <w:spacing w:after="31"/>
        <w:rPr>
          <w:rFonts w:cstheme="minorHAnsi"/>
          <w:b/>
          <w:bCs/>
        </w:rPr>
      </w:pPr>
      <w:r w:rsidRPr="002B4EEB">
        <w:rPr>
          <w:rFonts w:cstheme="minorHAnsi"/>
          <w:b/>
          <w:bCs/>
          <w:spacing w:val="-3"/>
        </w:rPr>
        <w:t xml:space="preserve">8.1.1 </w:t>
      </w:r>
      <w:r w:rsidRPr="002B4EEB">
        <w:rPr>
          <w:rFonts w:cstheme="minorHAnsi"/>
          <w:b/>
          <w:bCs/>
        </w:rPr>
        <w:t xml:space="preserve">Reactivos para para analizar los perfiles de expresión génica espacial en muestras de biopsia de tejidos fijados en formol y embebidos en parafina </w:t>
      </w:r>
      <w:r w:rsidRPr="002B4EEB">
        <w:rPr>
          <w:rFonts w:cstheme="minorHAnsi"/>
          <w:b/>
          <w:bCs/>
          <w:vertAlign w:val="superscript"/>
        </w:rPr>
        <w:footnoteReference w:id="2"/>
      </w:r>
      <w:r w:rsidRPr="002B4EEB">
        <w:rPr>
          <w:rFonts w:cstheme="minorHAnsi"/>
          <w:b/>
          <w:bCs/>
          <w:spacing w:val="-3"/>
        </w:rPr>
        <w:t xml:space="preserve"> (hasta 70 puntos)</w:t>
      </w:r>
    </w:p>
    <w:p w14:paraId="59B29AA9" w14:textId="77777777" w:rsidR="002B4EEB" w:rsidRPr="002B4EEB" w:rsidRDefault="002B4EEB" w:rsidP="002B4EEB">
      <w:pPr>
        <w:widowControl w:val="0"/>
        <w:suppressAutoHyphens/>
        <w:autoSpaceDE w:val="0"/>
        <w:autoSpaceDN w:val="0"/>
        <w:adjustRightInd w:val="0"/>
        <w:rPr>
          <w:rFonts w:cstheme="minorHAnsi"/>
          <w:spacing w:val="-3"/>
        </w:rPr>
      </w:pPr>
    </w:p>
    <w:p w14:paraId="33E42501" w14:textId="086A71B2" w:rsidR="002B4EEB" w:rsidRPr="002B4EEB" w:rsidRDefault="002B4EEB" w:rsidP="002B4EEB">
      <w:pPr>
        <w:widowControl w:val="0"/>
        <w:suppressAutoHyphens/>
        <w:autoSpaceDE w:val="0"/>
        <w:autoSpaceDN w:val="0"/>
        <w:adjustRightInd w:val="0"/>
        <w:rPr>
          <w:rFonts w:cstheme="minorHAnsi"/>
          <w:b/>
          <w:bCs/>
          <w:spacing w:val="-3"/>
        </w:rPr>
      </w:pPr>
      <w:r w:rsidRPr="002B4EEB">
        <w:rPr>
          <w:rFonts w:cstheme="minorHAnsi"/>
          <w:b/>
          <w:bCs/>
          <w:spacing w:val="-3"/>
        </w:rPr>
        <w:t xml:space="preserve">8.1.1.1 Precio ofertado para 16 muestras de biopsia FFPE, precio unitario máximo </w:t>
      </w:r>
      <w:r w:rsidR="00B05401">
        <w:rPr>
          <w:rFonts w:cstheme="minorHAnsi"/>
          <w:b/>
          <w:bCs/>
          <w:spacing w:val="-3"/>
        </w:rPr>
        <w:t>1.954,25.-</w:t>
      </w:r>
      <w:r w:rsidRPr="002B4EEB">
        <w:rPr>
          <w:rFonts w:cstheme="minorHAnsi"/>
          <w:b/>
          <w:bCs/>
          <w:spacing w:val="-3"/>
        </w:rPr>
        <w:t xml:space="preserve">€ </w:t>
      </w:r>
      <w:r w:rsidRPr="002B4EEB">
        <w:rPr>
          <w:rFonts w:cstheme="minorHAnsi"/>
          <w:b/>
          <w:bCs/>
          <w:spacing w:val="-3"/>
        </w:rPr>
        <w:lastRenderedPageBreak/>
        <w:t xml:space="preserve">(hasta 70 puntos) </w:t>
      </w:r>
    </w:p>
    <w:p w14:paraId="526C6883" w14:textId="77777777" w:rsidR="002B4EEB" w:rsidRPr="002B4EEB" w:rsidRDefault="002B4EEB" w:rsidP="002B4EEB">
      <w:pPr>
        <w:widowControl w:val="0"/>
        <w:suppressAutoHyphens/>
        <w:autoSpaceDE w:val="0"/>
        <w:autoSpaceDN w:val="0"/>
        <w:adjustRightInd w:val="0"/>
        <w:rPr>
          <w:rFonts w:cstheme="minorHAnsi"/>
          <w:spacing w:val="-3"/>
        </w:rPr>
      </w:pPr>
      <w:r w:rsidRPr="002B4EEB">
        <w:rPr>
          <w:rFonts w:cstheme="minorHAnsi"/>
          <w:spacing w:val="-3"/>
        </w:rPr>
        <w:t xml:space="preserve">Se puntuará con 70 puntos la oferta económica más baja y con 0 puntos la oferta que coincida con el precio unitario máximo. El resto de las ofertas se puntuarán basadas en la siguiente fórmula:  </w:t>
      </w:r>
    </w:p>
    <w:p w14:paraId="1E70D763" w14:textId="06E0B3ED" w:rsidR="002B4EEB" w:rsidRPr="002B4EEB" w:rsidRDefault="002B4EEB" w:rsidP="002B4EEB">
      <w:pPr>
        <w:widowControl w:val="0"/>
        <w:suppressAutoHyphens/>
        <w:autoSpaceDE w:val="0"/>
        <w:autoSpaceDN w:val="0"/>
        <w:adjustRightInd w:val="0"/>
        <w:jc w:val="center"/>
        <w:rPr>
          <w:rFonts w:cstheme="minorHAnsi"/>
          <w:spacing w:val="-3"/>
        </w:rPr>
      </w:pPr>
      <m:oMathPara>
        <m:oMath>
          <m:r>
            <w:rPr>
              <w:rFonts w:ascii="Cambria Math" w:hAnsi="Cambria Math" w:cstheme="minorHAnsi"/>
            </w:rPr>
            <m:t>PX=(</m:t>
          </m:r>
          <m:f>
            <m:fPr>
              <m:type m:val="skw"/>
              <m:ctrlPr>
                <w:rPr>
                  <w:rFonts w:ascii="Cambria Math" w:eastAsia="Calibri" w:hAnsi="Cambria Math" w:cstheme="minorHAnsi"/>
                  <w:i/>
                  <w:kern w:val="2"/>
                </w:rPr>
              </m:ctrlPr>
            </m:fPr>
            <m:num>
              <m:r>
                <w:rPr>
                  <w:rFonts w:ascii="Cambria Math" w:hAnsi="Cambria Math" w:cstheme="minorHAnsi"/>
                </w:rPr>
                <m:t>A</m:t>
              </m:r>
            </m:num>
            <m:den>
              <m:r>
                <w:rPr>
                  <w:rFonts w:ascii="Cambria Math" w:hAnsi="Cambria Math" w:cstheme="minorHAnsi"/>
                </w:rPr>
                <m:t>XP</m:t>
              </m:r>
            </m:den>
          </m:f>
          <m:r>
            <w:rPr>
              <w:rFonts w:ascii="Cambria Math" w:hAnsi="Cambria Math" w:cstheme="minorHAnsi"/>
            </w:rPr>
            <m:t>)*70</m:t>
          </m:r>
        </m:oMath>
      </m:oMathPara>
    </w:p>
    <w:p w14:paraId="6A03BA18" w14:textId="77777777" w:rsidR="002B4EEB" w:rsidRPr="002B4EEB" w:rsidRDefault="002B4EEB" w:rsidP="002B4EEB">
      <w:pPr>
        <w:widowControl w:val="0"/>
        <w:suppressAutoHyphens/>
        <w:autoSpaceDE w:val="0"/>
        <w:autoSpaceDN w:val="0"/>
        <w:adjustRightInd w:val="0"/>
        <w:rPr>
          <w:rFonts w:cstheme="minorHAnsi"/>
          <w:spacing w:val="-3"/>
        </w:rPr>
      </w:pPr>
      <w:r w:rsidRPr="002B4EEB">
        <w:rPr>
          <w:rFonts w:cstheme="minorHAnsi"/>
          <w:spacing w:val="-3"/>
        </w:rPr>
        <w:t xml:space="preserve">Donde: </w:t>
      </w:r>
    </w:p>
    <w:p w14:paraId="2C070F59" w14:textId="77777777" w:rsidR="002B4EEB" w:rsidRPr="002B4EEB" w:rsidRDefault="002B4EEB" w:rsidP="002B4EEB">
      <w:pPr>
        <w:widowControl w:val="0"/>
        <w:numPr>
          <w:ilvl w:val="0"/>
          <w:numId w:val="3"/>
        </w:numPr>
        <w:suppressAutoHyphens/>
        <w:autoSpaceDE w:val="0"/>
        <w:autoSpaceDN w:val="0"/>
        <w:adjustRightInd w:val="0"/>
        <w:spacing w:after="0" w:line="288" w:lineRule="auto"/>
        <w:jc w:val="both"/>
        <w:rPr>
          <w:rFonts w:cstheme="minorHAnsi"/>
          <w:spacing w:val="-3"/>
        </w:rPr>
      </w:pPr>
      <w:r w:rsidRPr="002B4EEB">
        <w:rPr>
          <w:rFonts w:cstheme="minorHAnsi"/>
          <w:spacing w:val="-3"/>
        </w:rPr>
        <w:t xml:space="preserve">XP= oferta económica del licitador </w:t>
      </w:r>
    </w:p>
    <w:p w14:paraId="25E4A100" w14:textId="77777777" w:rsidR="002B4EEB" w:rsidRPr="002B4EEB" w:rsidRDefault="002B4EEB" w:rsidP="002B4EEB">
      <w:pPr>
        <w:widowControl w:val="0"/>
        <w:numPr>
          <w:ilvl w:val="0"/>
          <w:numId w:val="3"/>
        </w:numPr>
        <w:suppressAutoHyphens/>
        <w:autoSpaceDE w:val="0"/>
        <w:autoSpaceDN w:val="0"/>
        <w:adjustRightInd w:val="0"/>
        <w:spacing w:after="0" w:line="288" w:lineRule="auto"/>
        <w:jc w:val="both"/>
        <w:rPr>
          <w:rFonts w:cstheme="minorHAnsi"/>
          <w:spacing w:val="-3"/>
        </w:rPr>
      </w:pPr>
      <w:r w:rsidRPr="002B4EEB">
        <w:rPr>
          <w:rFonts w:cstheme="minorHAnsi"/>
          <w:spacing w:val="-3"/>
        </w:rPr>
        <w:t xml:space="preserve">A= oferta económica más baja </w:t>
      </w:r>
    </w:p>
    <w:p w14:paraId="4F014468" w14:textId="77777777" w:rsidR="002B4EEB" w:rsidRPr="002B4EEB" w:rsidRDefault="002B4EEB" w:rsidP="002B4EEB">
      <w:pPr>
        <w:widowControl w:val="0"/>
        <w:numPr>
          <w:ilvl w:val="0"/>
          <w:numId w:val="3"/>
        </w:numPr>
        <w:suppressAutoHyphens/>
        <w:autoSpaceDE w:val="0"/>
        <w:autoSpaceDN w:val="0"/>
        <w:adjustRightInd w:val="0"/>
        <w:spacing w:after="0" w:line="288" w:lineRule="auto"/>
        <w:jc w:val="both"/>
        <w:rPr>
          <w:rFonts w:cstheme="minorHAnsi"/>
          <w:spacing w:val="-3"/>
        </w:rPr>
      </w:pPr>
      <w:r w:rsidRPr="002B4EEB">
        <w:rPr>
          <w:rFonts w:cstheme="minorHAnsi"/>
          <w:spacing w:val="-3"/>
        </w:rPr>
        <w:t>PX= puntuación del licitador</w:t>
      </w:r>
    </w:p>
    <w:p w14:paraId="7EAA2797" w14:textId="77777777" w:rsidR="002B4EEB" w:rsidRPr="002B4EEB" w:rsidRDefault="002B4EEB" w:rsidP="002B4EEB">
      <w:pPr>
        <w:widowControl w:val="0"/>
        <w:suppressAutoHyphens/>
        <w:autoSpaceDE w:val="0"/>
        <w:autoSpaceDN w:val="0"/>
        <w:adjustRightInd w:val="0"/>
        <w:rPr>
          <w:rFonts w:cstheme="minorHAnsi"/>
          <w:spacing w:val="-3"/>
        </w:rPr>
      </w:pPr>
    </w:p>
    <w:p w14:paraId="60BDB594" w14:textId="77777777" w:rsidR="002B4EEB" w:rsidRPr="002B4EEB" w:rsidRDefault="002B4EEB" w:rsidP="002B4EEB">
      <w:pPr>
        <w:widowControl w:val="0"/>
        <w:suppressAutoHyphens/>
        <w:autoSpaceDE w:val="0"/>
        <w:autoSpaceDN w:val="0"/>
        <w:adjustRightInd w:val="0"/>
        <w:rPr>
          <w:rFonts w:cstheme="minorHAnsi"/>
          <w:b/>
          <w:bCs/>
          <w:spacing w:val="-3"/>
        </w:rPr>
      </w:pPr>
      <w:r w:rsidRPr="002B4EEB">
        <w:rPr>
          <w:rFonts w:cstheme="minorHAnsi"/>
          <w:b/>
          <w:bCs/>
          <w:spacing w:val="-3"/>
        </w:rPr>
        <w:t>Criterio relativo a la formación del personal (30 puntos)</w:t>
      </w:r>
    </w:p>
    <w:p w14:paraId="4BEFF45D" w14:textId="77777777" w:rsidR="000D2CD4" w:rsidRDefault="000D2CD4" w:rsidP="00B05401">
      <w:pPr>
        <w:ind w:right="93"/>
        <w:jc w:val="both"/>
      </w:pPr>
      <w:r>
        <w:t xml:space="preserve">El licitador que imparta formación al personal del Laboratorio del Grupo de Investigación en Linfomas (Oncología Médica) del IDIPHISA tanto en el manejo de los kits, como en el análisis de datos obtendrá un máximo de 30 puntos.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6"/>
        <w:gridCol w:w="3828"/>
      </w:tblGrid>
      <w:tr w:rsidR="000D2CD4" w:rsidRPr="008D1E66" w14:paraId="7100B66A" w14:textId="77777777" w:rsidTr="000D2CD4">
        <w:tc>
          <w:tcPr>
            <w:tcW w:w="4666" w:type="dxa"/>
            <w:shd w:val="clear" w:color="auto" w:fill="BFBFBF"/>
            <w:vAlign w:val="center"/>
          </w:tcPr>
          <w:p w14:paraId="409F4088" w14:textId="77777777" w:rsidR="000D2CD4" w:rsidRPr="008D1E66" w:rsidRDefault="000D2CD4" w:rsidP="003A16CD">
            <w:pPr>
              <w:widowControl w:val="0"/>
              <w:suppressAutoHyphens/>
              <w:autoSpaceDE w:val="0"/>
              <w:autoSpaceDN w:val="0"/>
              <w:adjustRightInd w:val="0"/>
              <w:jc w:val="center"/>
              <w:rPr>
                <w:b/>
                <w:bCs/>
                <w:spacing w:val="-3"/>
              </w:rPr>
            </w:pPr>
            <w:r w:rsidRPr="008D1E66">
              <w:rPr>
                <w:b/>
                <w:bCs/>
                <w:spacing w:val="-3"/>
              </w:rPr>
              <w:t>Criterio</w:t>
            </w:r>
          </w:p>
        </w:tc>
        <w:tc>
          <w:tcPr>
            <w:tcW w:w="3828" w:type="dxa"/>
            <w:shd w:val="clear" w:color="auto" w:fill="BFBFBF"/>
            <w:vAlign w:val="center"/>
          </w:tcPr>
          <w:p w14:paraId="387B65E4" w14:textId="77777777" w:rsidR="000D2CD4" w:rsidRPr="008D1E66" w:rsidRDefault="000D2CD4" w:rsidP="003A16CD">
            <w:pPr>
              <w:widowControl w:val="0"/>
              <w:suppressAutoHyphens/>
              <w:autoSpaceDE w:val="0"/>
              <w:autoSpaceDN w:val="0"/>
              <w:adjustRightInd w:val="0"/>
              <w:jc w:val="center"/>
              <w:rPr>
                <w:b/>
                <w:bCs/>
                <w:spacing w:val="-3"/>
              </w:rPr>
            </w:pPr>
            <w:r w:rsidRPr="008D1E66">
              <w:rPr>
                <w:b/>
                <w:bCs/>
                <w:spacing w:val="-3"/>
              </w:rPr>
              <w:t>Puntuación</w:t>
            </w:r>
          </w:p>
        </w:tc>
      </w:tr>
      <w:tr w:rsidR="000D2CD4" w:rsidRPr="008D1E66" w14:paraId="7A0A81F7" w14:textId="77777777" w:rsidTr="000D2CD4">
        <w:trPr>
          <w:trHeight w:val="1415"/>
        </w:trPr>
        <w:tc>
          <w:tcPr>
            <w:tcW w:w="4666" w:type="dxa"/>
            <w:shd w:val="clear" w:color="auto" w:fill="auto"/>
          </w:tcPr>
          <w:p w14:paraId="4362F180" w14:textId="77777777" w:rsidR="000D2CD4" w:rsidRPr="008D1E66" w:rsidRDefault="000D2CD4" w:rsidP="003A16CD">
            <w:pPr>
              <w:widowControl w:val="0"/>
              <w:suppressAutoHyphens/>
              <w:autoSpaceDE w:val="0"/>
              <w:autoSpaceDN w:val="0"/>
              <w:adjustRightInd w:val="0"/>
              <w:rPr>
                <w:spacing w:val="-3"/>
              </w:rPr>
            </w:pPr>
            <w:r w:rsidRPr="008D1E66">
              <w:rPr>
                <w:spacing w:val="-3"/>
              </w:rPr>
              <w:t xml:space="preserve">Horas </w:t>
            </w:r>
            <w:r>
              <w:rPr>
                <w:spacing w:val="-3"/>
              </w:rPr>
              <w:t xml:space="preserve">adicionales </w:t>
            </w:r>
            <w:r w:rsidRPr="008D1E66">
              <w:rPr>
                <w:spacing w:val="-3"/>
              </w:rPr>
              <w:t>de formación al personal del Laboratorio del Grupo de Investigación en Linfomas (Oncología Médica) del IDIPHISA tanto en el manejo de los kits, como en el análisis de datos</w:t>
            </w:r>
            <w:r>
              <w:rPr>
                <w:spacing w:val="-3"/>
              </w:rPr>
              <w:t xml:space="preserve"> (hasta 15 horas)</w:t>
            </w:r>
          </w:p>
        </w:tc>
        <w:tc>
          <w:tcPr>
            <w:tcW w:w="3828" w:type="dxa"/>
            <w:shd w:val="clear" w:color="auto" w:fill="auto"/>
            <w:vAlign w:val="center"/>
          </w:tcPr>
          <w:p w14:paraId="45D7920B" w14:textId="77777777" w:rsidR="000D2CD4" w:rsidRPr="008D1E66" w:rsidRDefault="000D2CD4" w:rsidP="003A16CD">
            <w:pPr>
              <w:widowControl w:val="0"/>
              <w:suppressAutoHyphens/>
              <w:autoSpaceDE w:val="0"/>
              <w:autoSpaceDN w:val="0"/>
              <w:adjustRightInd w:val="0"/>
              <w:jc w:val="center"/>
              <w:rPr>
                <w:spacing w:val="-3"/>
              </w:rPr>
            </w:pPr>
            <w:r w:rsidRPr="008D1E66">
              <w:rPr>
                <w:spacing w:val="-3"/>
              </w:rPr>
              <w:t>Hasta 30 puntos</w:t>
            </w:r>
          </w:p>
        </w:tc>
      </w:tr>
    </w:tbl>
    <w:p w14:paraId="7703D18E" w14:textId="77777777" w:rsidR="000D2CD4" w:rsidRDefault="000D2CD4" w:rsidP="000D2CD4">
      <w:pPr>
        <w:widowControl w:val="0"/>
        <w:suppressAutoHyphens/>
        <w:autoSpaceDE w:val="0"/>
        <w:autoSpaceDN w:val="0"/>
        <w:adjustRightInd w:val="0"/>
        <w:rPr>
          <w:spacing w:val="-3"/>
        </w:rPr>
      </w:pPr>
    </w:p>
    <w:p w14:paraId="39A65574" w14:textId="21F60AAA" w:rsidR="000D2CD4" w:rsidRPr="008D1E66" w:rsidRDefault="000D2CD4" w:rsidP="00B05401">
      <w:pPr>
        <w:widowControl w:val="0"/>
        <w:suppressAutoHyphens/>
        <w:autoSpaceDE w:val="0"/>
        <w:autoSpaceDN w:val="0"/>
        <w:adjustRightInd w:val="0"/>
        <w:jc w:val="both"/>
        <w:rPr>
          <w:spacing w:val="-3"/>
        </w:rPr>
      </w:pPr>
      <w:r w:rsidRPr="008D1E66">
        <w:rPr>
          <w:spacing w:val="-3"/>
        </w:rPr>
        <w:t xml:space="preserve">Se otorgarán un máximo de 30 puntos al licitador que imparta formación adicional por encima del mínimo exigido al personal del Laboratorio del Servicio de Oncología Médica del Hospital Universitario Puerta de Hierro tanto en la generación de las librerías como en su posterior secuenciación y análisis. </w:t>
      </w:r>
    </w:p>
    <w:p w14:paraId="6C7212F0" w14:textId="77777777" w:rsidR="000D2CD4" w:rsidRDefault="000D2CD4" w:rsidP="00B05401">
      <w:pPr>
        <w:widowControl w:val="0"/>
        <w:suppressAutoHyphens/>
        <w:autoSpaceDE w:val="0"/>
        <w:autoSpaceDN w:val="0"/>
        <w:adjustRightInd w:val="0"/>
        <w:jc w:val="both"/>
        <w:rPr>
          <w:spacing w:val="-3"/>
        </w:rPr>
      </w:pPr>
      <w:r w:rsidRPr="008D1E66">
        <w:rPr>
          <w:spacing w:val="-3"/>
        </w:rPr>
        <w:t>La puntuación se asignará del siguiente modo: por cada hora de formación propuesta se asignará</w:t>
      </w:r>
      <w:r>
        <w:rPr>
          <w:spacing w:val="-3"/>
        </w:rPr>
        <w:t>n</w:t>
      </w:r>
      <w:r w:rsidRPr="008D1E66">
        <w:rPr>
          <w:spacing w:val="-3"/>
        </w:rPr>
        <w:t xml:space="preserve"> </w:t>
      </w:r>
      <w:r>
        <w:rPr>
          <w:spacing w:val="-3"/>
        </w:rPr>
        <w:t>2</w:t>
      </w:r>
      <w:r w:rsidRPr="008D1E66">
        <w:rPr>
          <w:spacing w:val="-3"/>
        </w:rPr>
        <w:t xml:space="preserve"> punto</w:t>
      </w:r>
      <w:r>
        <w:rPr>
          <w:spacing w:val="-3"/>
        </w:rPr>
        <w:t>s</w:t>
      </w:r>
      <w:r w:rsidRPr="008D1E66">
        <w:rPr>
          <w:spacing w:val="-3"/>
        </w:rPr>
        <w:t xml:space="preserve">, de tal forma que el máximo de horas adicionales </w:t>
      </w:r>
      <w:r>
        <w:rPr>
          <w:spacing w:val="-3"/>
        </w:rPr>
        <w:t xml:space="preserve">que el licitador podrá ofertar </w:t>
      </w:r>
      <w:r w:rsidRPr="008D1E66">
        <w:rPr>
          <w:spacing w:val="-3"/>
        </w:rPr>
        <w:t xml:space="preserve">será de </w:t>
      </w:r>
      <w:r>
        <w:rPr>
          <w:spacing w:val="-3"/>
        </w:rPr>
        <w:t>15</w:t>
      </w:r>
      <w:r w:rsidRPr="008D1E66">
        <w:rPr>
          <w:spacing w:val="-3"/>
        </w:rPr>
        <w:t>. Por ello, la puntuación máxima también será por ende hasta un máximo de 30 puntos.</w:t>
      </w:r>
      <w:r>
        <w:rPr>
          <w:spacing w:val="-3"/>
        </w:rPr>
        <w:t xml:space="preserve"> </w:t>
      </w:r>
    </w:p>
    <w:p w14:paraId="2025E896" w14:textId="77777777" w:rsidR="005441FA" w:rsidRDefault="005441FA" w:rsidP="00FC0B58">
      <w:pPr>
        <w:autoSpaceDE w:val="0"/>
        <w:autoSpaceDN w:val="0"/>
        <w:adjustRightInd w:val="0"/>
        <w:spacing w:after="0" w:line="240" w:lineRule="auto"/>
        <w:jc w:val="both"/>
        <w:rPr>
          <w:rFonts w:eastAsia="Calibri" w:cstheme="minorHAnsi"/>
          <w:b/>
          <w:bCs/>
          <w:smallCaps/>
          <w:color w:val="5B9BD5"/>
          <w:spacing w:val="5"/>
        </w:rPr>
      </w:pPr>
    </w:p>
    <w:p w14:paraId="3D3E8E0D" w14:textId="3F9DB497"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 CRITERIOS DE SELECCIÓN: ACREDITACIÓN DE LA SOLVENCIA</w:t>
      </w:r>
    </w:p>
    <w:p w14:paraId="23DC4D36"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Para valorar la solvencia, las empresas participantes deberán acreditar estar en posesión de unas condiciones mínimas de solvencia económica y financiera y profesional de acuerdo con los criterios de selección que, al amparo de los artículos 74, 87 y 89 de la LCSP, se indican a continuación.</w:t>
      </w:r>
    </w:p>
    <w:p w14:paraId="558AC4D7" w14:textId="77777777"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lastRenderedPageBreak/>
        <w:t>No podrán concurrir a la licitación aquellas empresas que hubieren participado en la elaboración de las especificaciones técnicas a que se refiere la presente licitación, siempre que dicha participación pueda provocar restricciones a la libre concurrencia o suponer un trato privilegiado con respecto al resto de las empresas licitadoras. (Artículo 70 de la LCSP).</w:t>
      </w:r>
    </w:p>
    <w:p w14:paraId="58744AD3"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07365EA1" w14:textId="72EBBB10"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9.1.- SOLVENCIA ECONÓMICA Y FINANCIERA</w:t>
      </w:r>
    </w:p>
    <w:p w14:paraId="6747094E" w14:textId="77777777" w:rsidR="00846377" w:rsidRPr="00846377" w:rsidRDefault="00846377" w:rsidP="00846377">
      <w:pPr>
        <w:pBdr>
          <w:top w:val="nil"/>
          <w:left w:val="nil"/>
          <w:bottom w:val="nil"/>
          <w:right w:val="nil"/>
          <w:between w:val="nil"/>
        </w:pBdr>
        <w:spacing w:before="240" w:after="0" w:line="240" w:lineRule="auto"/>
        <w:jc w:val="both"/>
        <w:rPr>
          <w:rFonts w:eastAsia="Calibri" w:cstheme="minorHAnsi"/>
        </w:rPr>
      </w:pPr>
      <w:r w:rsidRPr="00846377">
        <w:rPr>
          <w:rFonts w:eastAsia="Calibri" w:cstheme="minorHAnsi"/>
        </w:rPr>
        <w:t>Artículo 87 de la LCSP, apartado/s: 1.a)</w:t>
      </w:r>
    </w:p>
    <w:p w14:paraId="2B3CE714" w14:textId="13679C44" w:rsidR="00846377" w:rsidRPr="00846377" w:rsidRDefault="00846377" w:rsidP="00846377">
      <w:pPr>
        <w:pBdr>
          <w:top w:val="nil"/>
          <w:left w:val="nil"/>
          <w:bottom w:val="nil"/>
          <w:right w:val="nil"/>
          <w:between w:val="nil"/>
        </w:pBdr>
        <w:spacing w:before="240" w:after="0" w:line="240" w:lineRule="auto"/>
        <w:jc w:val="both"/>
        <w:rPr>
          <w:rFonts w:eastAsia="Calibri" w:cstheme="minorHAnsi"/>
        </w:rPr>
      </w:pPr>
      <w:r w:rsidRPr="00846377">
        <w:rPr>
          <w:rFonts w:eastAsia="Calibri" w:cstheme="minorHAnsi"/>
        </w:rPr>
        <w:t>Criterios de selección:</w:t>
      </w:r>
    </w:p>
    <w:p w14:paraId="5A79B9C3" w14:textId="0CC30084" w:rsidR="00846377" w:rsidRPr="00846377" w:rsidRDefault="00846377" w:rsidP="00846377">
      <w:pPr>
        <w:pBdr>
          <w:top w:val="nil"/>
          <w:left w:val="nil"/>
          <w:bottom w:val="nil"/>
          <w:right w:val="nil"/>
          <w:between w:val="nil"/>
        </w:pBdr>
        <w:spacing w:before="240" w:after="0" w:line="240" w:lineRule="auto"/>
        <w:jc w:val="both"/>
        <w:rPr>
          <w:rFonts w:eastAsia="Calibri" w:cstheme="minorHAnsi"/>
        </w:rPr>
      </w:pPr>
      <w:r w:rsidRPr="00846377">
        <w:rPr>
          <w:rFonts w:eastAsia="Calibri" w:cstheme="minorHAnsi"/>
        </w:rPr>
        <w:t xml:space="preserve">Volumen anual de negocios del licitador o candidato, que referido al año de mayor volumen de negocio de los tres últimos años concluidos (2021, 2022 y 2023) sea de al menos una vez y media el valor estimado del contrato cuando su duración no sea superior a un año, y al menos una vez y media el valor anual medio del contrato si su duración es superior a un año, es decir, en este caso: </w:t>
      </w:r>
      <w:r w:rsidR="00B05401" w:rsidRPr="007023BC">
        <w:t xml:space="preserve">68.789,60 </w:t>
      </w:r>
      <w:r w:rsidRPr="00846377">
        <w:rPr>
          <w:rFonts w:eastAsia="Calibri" w:cstheme="minorHAnsi"/>
        </w:rPr>
        <w:t>euros, IVA no incluido.</w:t>
      </w:r>
    </w:p>
    <w:p w14:paraId="2A67602A" w14:textId="77777777" w:rsidR="00846377" w:rsidRPr="00846377" w:rsidRDefault="00846377" w:rsidP="00846377">
      <w:pPr>
        <w:pBdr>
          <w:top w:val="nil"/>
          <w:left w:val="nil"/>
          <w:bottom w:val="nil"/>
          <w:right w:val="nil"/>
          <w:between w:val="nil"/>
        </w:pBdr>
        <w:spacing w:before="240" w:after="0" w:line="240" w:lineRule="auto"/>
        <w:jc w:val="both"/>
        <w:rPr>
          <w:rFonts w:eastAsia="Calibri" w:cstheme="minorHAnsi"/>
        </w:rPr>
      </w:pPr>
      <w:r w:rsidRPr="00846377">
        <w:rPr>
          <w:rFonts w:eastAsia="Calibri" w:cstheme="minorHAnsi"/>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p w14:paraId="01D02CD3" w14:textId="77777777" w:rsidR="00846377" w:rsidRPr="00846377" w:rsidRDefault="00846377" w:rsidP="00846377">
      <w:pPr>
        <w:pBdr>
          <w:top w:val="nil"/>
          <w:left w:val="nil"/>
          <w:bottom w:val="nil"/>
          <w:right w:val="nil"/>
          <w:between w:val="nil"/>
        </w:pBdr>
        <w:spacing w:before="240" w:after="0" w:line="240" w:lineRule="auto"/>
        <w:jc w:val="both"/>
        <w:rPr>
          <w:rFonts w:eastAsia="Calibri" w:cstheme="minorHAnsi"/>
        </w:rPr>
      </w:pPr>
      <w:r w:rsidRPr="00846377">
        <w:rPr>
          <w:rFonts w:eastAsia="Calibri" w:cstheme="minorHAnsi"/>
        </w:rPr>
        <w:t>En todo caso, no se admitirán a efectos de acreditación de la solvencia económica y financiera las declaraciones o autoliquidaciones tributarias (sociedades, IRPF) del empresario (societario o individual), debiendo estarse a sus cuentas anuales aprobadas y depositadas en el Registro Mercantil o en Registro oficial correspondiente o, para empresarios individuales, a sus libros de inventarios y cuentas anuales debidamente legalizadas.</w:t>
      </w:r>
    </w:p>
    <w:p w14:paraId="0C312C5E" w14:textId="7DE48991" w:rsidR="00FC0B58" w:rsidRDefault="00846377" w:rsidP="00846377">
      <w:pPr>
        <w:pBdr>
          <w:top w:val="nil"/>
          <w:left w:val="nil"/>
          <w:bottom w:val="nil"/>
          <w:right w:val="nil"/>
          <w:between w:val="nil"/>
        </w:pBdr>
        <w:spacing w:before="240" w:after="0" w:line="240" w:lineRule="auto"/>
        <w:jc w:val="both"/>
        <w:rPr>
          <w:rFonts w:eastAsia="Calibri" w:cstheme="minorHAnsi"/>
        </w:rPr>
      </w:pPr>
      <w:r w:rsidRPr="00846377">
        <w:rPr>
          <w:rFonts w:eastAsia="Calibri" w:cstheme="minorHAnsi"/>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25DC475A"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557FC480" w14:textId="62E5D2FE"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9.2.- SOLVENCIA TÉCNICA O PROFESIONAL</w:t>
      </w:r>
    </w:p>
    <w:p w14:paraId="1ECAEA37" w14:textId="77777777" w:rsidR="00E66654" w:rsidRPr="00E66654"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Artículo 89 de la LCSP, apartado/s:</w:t>
      </w:r>
    </w:p>
    <w:p w14:paraId="6987F507" w14:textId="77777777" w:rsidR="00E66654" w:rsidRPr="00E66654"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Criterios de selección:</w:t>
      </w:r>
    </w:p>
    <w:p w14:paraId="1FCFFE76" w14:textId="5805F2AF" w:rsidR="00E66654" w:rsidRPr="00E66654"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 xml:space="preserve">Relación de los principales servicios o trabajos realizados de igual o similar naturaleza que los que constituyen el objeto del contrato en el curso de los tres últimos años, en la que se indique el importe, la fecha y el destinatario, público o privado de los mismos; siendo el requisito mínimo que el importe anual acumulado en el año de mayor ejecución sea igual o superior al 70 por ciento, es decir, </w:t>
      </w:r>
      <w:r w:rsidR="00B05401" w:rsidRPr="007023BC">
        <w:t xml:space="preserve">32.101,81 </w:t>
      </w:r>
      <w:bookmarkStart w:id="2" w:name="_GoBack"/>
      <w:bookmarkEnd w:id="2"/>
      <w:r w:rsidRPr="00E66654">
        <w:rPr>
          <w:rFonts w:eastAsia="Calibri" w:cstheme="minorHAnsi"/>
        </w:rPr>
        <w:t xml:space="preserve">euros. </w:t>
      </w:r>
      <w:r w:rsidRPr="00E66654">
        <w:rPr>
          <w:rFonts w:eastAsia="Calibri" w:cstheme="minorHAnsi"/>
        </w:rPr>
        <w:tab/>
      </w:r>
    </w:p>
    <w:p w14:paraId="06B9F926" w14:textId="77777777" w:rsidR="00E66654" w:rsidRPr="00E66654"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lastRenderedPageBreak/>
        <w:t>A efectos de determinar que los suministros efectuados sean de igual o similar naturaleza, habrá de atenderse a los tres primeros dígitos del código CPV establecido en el apartado 1.</w:t>
      </w:r>
    </w:p>
    <w:p w14:paraId="05EBC15C" w14:textId="77777777" w:rsidR="00E66654" w:rsidRPr="00E66654"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Cuando le sea requerido por los servicios dependientes del órgano de contratación, los suministros efectuados se acreditarán mediante certificados expedidos o visados por el órgano competente, cuando el destinatario sea una entidad del sector público; cuando el destinatario sea un sujeto privado, mediante un certificado expedido por este o, a falta de este certificado, mediante una declaración del empresario acompañado de los documentos obrantes en poder del mismo que acrediten la realización de la prestación; en su caso estos certificados serán comunicados directamente al órgano de contratación por la autoridad competente.</w:t>
      </w:r>
    </w:p>
    <w:p w14:paraId="504172C3" w14:textId="67F0336D" w:rsidR="00E66654" w:rsidRPr="00E66654"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El licitador deberá aportar, además de lo anterior, al menos dos (3) certificados de buena ejecución expedidos o visados por el órgano competente, cuando el destinatario sea una entidad del sector público o, cuando el destinatario sea un sujeto privado, mediante un certificado expedido por éste o, a falta de este certificado, mediante una declaración del empresario acompañada de los documentos obrantes en poder del mismo que acrediten la realización de la prestación, es decir, junto a evidencia documental que acredite la existencia de los mismos.</w:t>
      </w:r>
    </w:p>
    <w:p w14:paraId="192C81F5" w14:textId="274C3FF4" w:rsidR="00E66654" w:rsidRPr="00E66654"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0A2428E0" w14:textId="5B824E12" w:rsidR="00FC0B58" w:rsidRDefault="00E66654" w:rsidP="00E66654">
      <w:pPr>
        <w:pBdr>
          <w:top w:val="nil"/>
          <w:left w:val="nil"/>
          <w:bottom w:val="nil"/>
          <w:right w:val="nil"/>
          <w:between w:val="nil"/>
        </w:pBdr>
        <w:spacing w:before="240" w:after="0" w:line="240" w:lineRule="auto"/>
        <w:jc w:val="both"/>
        <w:rPr>
          <w:rFonts w:eastAsia="Calibri" w:cstheme="minorHAnsi"/>
        </w:rPr>
      </w:pPr>
      <w:r w:rsidRPr="00E66654">
        <w:rPr>
          <w:rFonts w:eastAsia="Calibri" w:cstheme="minorHAnsi"/>
        </w:rPr>
        <w:t>Se podrá requerir una muestra a los licitadores con carácter previo a la propuesta de adjudicación.</w:t>
      </w:r>
    </w:p>
    <w:p w14:paraId="72D59969"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2840D9BD" w14:textId="3672F2B3"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10.- PAGO DE LOS SUMINISTROS</w:t>
      </w:r>
    </w:p>
    <w:p w14:paraId="5AEE029F" w14:textId="77777777" w:rsidR="00FC0B58" w:rsidRPr="003D66F2" w:rsidRDefault="00FC0B58" w:rsidP="00FC0B58">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El contratista tendrá derecho al abono de cada suministro realizado y recibido a conformidad, en los términos establecidos en las normas que rigen el contrato y con arreglo al precio convenido, según se establece en el artículo 198 de la LCSP. </w:t>
      </w:r>
    </w:p>
    <w:p w14:paraId="77E77B3B" w14:textId="77777777" w:rsidR="00FC0B58" w:rsidRPr="003D66F2" w:rsidRDefault="00FC0B58" w:rsidP="00FC0B58">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La contraprestación se abonará contra factura presentada al Contratante. </w:t>
      </w:r>
    </w:p>
    <w:p w14:paraId="066F6EBD" w14:textId="77777777" w:rsidR="00FC0B58" w:rsidRPr="003D66F2" w:rsidRDefault="00FC0B58" w:rsidP="00FC0B58">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Todos los pagos se verificarán mediante transferencia bancaria, previa recepción de la factura por el contratante. </w:t>
      </w:r>
    </w:p>
    <w:p w14:paraId="7BF7F623" w14:textId="77777777" w:rsidR="00FC0B58" w:rsidRDefault="00FC0B58" w:rsidP="00FC0B58">
      <w:pPr>
        <w:pBdr>
          <w:top w:val="nil"/>
          <w:left w:val="nil"/>
          <w:bottom w:val="nil"/>
          <w:right w:val="nil"/>
          <w:between w:val="nil"/>
        </w:pBdr>
        <w:spacing w:before="240" w:after="0" w:line="240" w:lineRule="auto"/>
        <w:jc w:val="both"/>
        <w:rPr>
          <w:rFonts w:eastAsia="Calibri" w:cstheme="minorHAnsi"/>
        </w:rPr>
      </w:pPr>
      <w:r w:rsidRPr="003D66F2">
        <w:rPr>
          <w:rFonts w:eastAsia="Calibri" w:cstheme="minorHAnsi"/>
        </w:rPr>
        <w:t xml:space="preserve"> Las facturas serán remitidas al siguiente correo: pliegosycontratos@idiphim.org debiendo incluirse en las mismas la referencia del nº del presente expediente.</w:t>
      </w:r>
    </w:p>
    <w:p w14:paraId="4C84667C"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17CB4441" w14:textId="235344D5"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11.- CONSTITUCIÓN DE GARANTÍA DEFINITIVA</w:t>
      </w:r>
    </w:p>
    <w:p w14:paraId="6C062FE0" w14:textId="56D13E6D" w:rsidR="00FC0B58" w:rsidRPr="00C62B84" w:rsidRDefault="00FC0B58" w:rsidP="00FC0B58">
      <w:pPr>
        <w:pBdr>
          <w:top w:val="nil"/>
          <w:left w:val="nil"/>
          <w:bottom w:val="nil"/>
          <w:right w:val="nil"/>
          <w:between w:val="nil"/>
        </w:pBdr>
        <w:spacing w:before="240" w:after="0" w:line="240" w:lineRule="auto"/>
        <w:jc w:val="both"/>
        <w:rPr>
          <w:rFonts w:eastAsia="Calibri" w:cstheme="minorHAnsi"/>
        </w:rPr>
      </w:pPr>
      <w:r w:rsidRPr="00C62B84">
        <w:rPr>
          <w:rFonts w:eastAsia="Calibri" w:cstheme="minorHAnsi"/>
        </w:rPr>
        <w:t xml:space="preserve">De conformidad con el artículo 107.1 LCSP, los licitadores que presenten las mejores ofertas de conformidad con lo dispuesto en el artículo 145, deberán constituir a disposición del órgano de contratación una garantía definitiva de un 5% del </w:t>
      </w:r>
      <w:r>
        <w:rPr>
          <w:rFonts w:eastAsia="Calibri" w:cstheme="minorHAnsi"/>
        </w:rPr>
        <w:t>presupuesto base de licitación,</w:t>
      </w:r>
      <w:r w:rsidRPr="00C62B84">
        <w:rPr>
          <w:rFonts w:eastAsia="Calibri" w:cstheme="minorHAnsi"/>
        </w:rPr>
        <w:t xml:space="preserve"> IVA excluido.</w:t>
      </w:r>
    </w:p>
    <w:p w14:paraId="6F2E7B2A"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56CE3756" w14:textId="24190701"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lastRenderedPageBreak/>
        <w:t>12.- PLAZO DE GARANTÍA DEL SUMINISTRO</w:t>
      </w:r>
    </w:p>
    <w:p w14:paraId="19D07B07" w14:textId="77777777" w:rsidR="0067653C" w:rsidRPr="0067653C" w:rsidRDefault="0067653C" w:rsidP="0067653C">
      <w:pPr>
        <w:pBdr>
          <w:top w:val="nil"/>
          <w:left w:val="nil"/>
          <w:bottom w:val="nil"/>
          <w:right w:val="nil"/>
          <w:between w:val="nil"/>
        </w:pBdr>
        <w:spacing w:before="240" w:after="0" w:line="240" w:lineRule="auto"/>
        <w:jc w:val="both"/>
        <w:rPr>
          <w:rFonts w:eastAsia="Calibri" w:cstheme="minorHAnsi"/>
        </w:rPr>
      </w:pPr>
      <w:r w:rsidRPr="0067653C">
        <w:rPr>
          <w:rFonts w:eastAsia="Calibri" w:cstheme="minorHAnsi"/>
        </w:rPr>
        <w:t xml:space="preserve">GARANTÍA FINANCIERA: Garantía financiera de 4 meses desde la recepción del último pedido.  </w:t>
      </w:r>
    </w:p>
    <w:p w14:paraId="37AAD065" w14:textId="6E0C8831" w:rsidR="00FC0B58" w:rsidRDefault="0067653C" w:rsidP="0067653C">
      <w:pPr>
        <w:pBdr>
          <w:top w:val="nil"/>
          <w:left w:val="nil"/>
          <w:bottom w:val="nil"/>
          <w:right w:val="nil"/>
          <w:between w:val="nil"/>
        </w:pBdr>
        <w:spacing w:before="240" w:after="0" w:line="240" w:lineRule="auto"/>
        <w:jc w:val="both"/>
        <w:rPr>
          <w:rFonts w:eastAsia="Calibri" w:cstheme="minorHAnsi"/>
        </w:rPr>
      </w:pPr>
      <w:r w:rsidRPr="0067653C">
        <w:rPr>
          <w:rFonts w:eastAsia="Calibri" w:cstheme="minorHAnsi"/>
        </w:rPr>
        <w:t>GARANTÍA TÉCNICA: La garantía técnica del suministro será de 4 meses desde su recepción</w:t>
      </w:r>
    </w:p>
    <w:p w14:paraId="7561D72F" w14:textId="77777777" w:rsidR="0067653C"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2F09723B" w14:textId="48E78839" w:rsidR="00FC0B58" w:rsidRPr="00C62B84"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C62B84">
        <w:rPr>
          <w:rFonts w:eastAsia="Calibri" w:cstheme="minorHAnsi"/>
          <w:b/>
          <w:bCs/>
          <w:smallCaps/>
          <w:color w:val="5B9BD5"/>
          <w:spacing w:val="5"/>
        </w:rPr>
        <w:t>13.- CONDICIONES ESPECIALES DE EJECUCIÓN</w:t>
      </w:r>
    </w:p>
    <w:p w14:paraId="18701C79" w14:textId="77777777" w:rsidR="00FC0B58" w:rsidRPr="009673D4" w:rsidRDefault="00FC0B58" w:rsidP="00FC0B58">
      <w:pPr>
        <w:pBdr>
          <w:top w:val="nil"/>
          <w:left w:val="nil"/>
          <w:bottom w:val="nil"/>
          <w:right w:val="nil"/>
          <w:between w:val="nil"/>
        </w:pBdr>
        <w:spacing w:before="240" w:after="0" w:line="240" w:lineRule="auto"/>
        <w:jc w:val="both"/>
        <w:rPr>
          <w:rFonts w:eastAsia="Calibri" w:cstheme="minorHAnsi"/>
        </w:rPr>
      </w:pPr>
      <w:r w:rsidRPr="009673D4">
        <w:rPr>
          <w:rFonts w:eastAsia="Calibri" w:cstheme="minorHAnsi"/>
        </w:rPr>
        <w:t>Incorporación de cláusulas sociales, ambientales y de innovación como condiciones especiales de ejecución:</w:t>
      </w:r>
    </w:p>
    <w:p w14:paraId="20011C09" w14:textId="77777777" w:rsidR="00FC0B58" w:rsidRPr="009673D4" w:rsidRDefault="00FC0B58" w:rsidP="00FC0B58">
      <w:pPr>
        <w:pBdr>
          <w:top w:val="nil"/>
          <w:left w:val="nil"/>
          <w:bottom w:val="nil"/>
          <w:right w:val="nil"/>
          <w:between w:val="nil"/>
        </w:pBdr>
        <w:spacing w:before="240" w:after="0" w:line="240" w:lineRule="auto"/>
        <w:jc w:val="both"/>
        <w:rPr>
          <w:rFonts w:eastAsia="Calibri" w:cstheme="minorHAnsi"/>
          <w:u w:val="single"/>
        </w:rPr>
      </w:pPr>
      <w:r w:rsidRPr="009673D4">
        <w:rPr>
          <w:rFonts w:eastAsia="Calibri" w:cstheme="minorHAnsi"/>
          <w:u w:val="single"/>
        </w:rPr>
        <w:t xml:space="preserve"> X Como criterios ambientales</w:t>
      </w:r>
    </w:p>
    <w:p w14:paraId="659D4315" w14:textId="77777777" w:rsidR="00FC0B58" w:rsidRDefault="00FC0B58" w:rsidP="00FC0B58">
      <w:pPr>
        <w:pBdr>
          <w:top w:val="nil"/>
          <w:left w:val="nil"/>
          <w:bottom w:val="nil"/>
          <w:right w:val="nil"/>
          <w:between w:val="nil"/>
        </w:pBdr>
        <w:spacing w:before="240" w:after="0" w:line="240" w:lineRule="auto"/>
        <w:jc w:val="both"/>
        <w:rPr>
          <w:rFonts w:eastAsia="Calibri" w:cstheme="minorHAnsi"/>
        </w:rPr>
      </w:pPr>
      <w:r w:rsidRPr="009673D4">
        <w:rPr>
          <w:rFonts w:eastAsia="Calibri" w:cstheme="minorHAnsi"/>
        </w:rPr>
        <w:t xml:space="preserve">Condiciones especiales de ejecución: La empresa adjudicataria deberá promover el reciclado de aquellos productos que sean utilizados para la ejecución del contrato y hayan sido devueltos por tratarse de artículos defectuosos. A lo largo de la ejecución del contrato deberá proveer evidencia de cumplimiento de esta obligación especial.  </w:t>
      </w:r>
    </w:p>
    <w:p w14:paraId="121E0B84" w14:textId="77777777" w:rsidR="0067653C" w:rsidRDefault="0067653C" w:rsidP="00FC0B58">
      <w:pPr>
        <w:pBdr>
          <w:top w:val="nil"/>
          <w:left w:val="nil"/>
          <w:bottom w:val="nil"/>
          <w:right w:val="nil"/>
          <w:between w:val="nil"/>
        </w:pBdr>
        <w:spacing w:before="240" w:after="0" w:line="240" w:lineRule="auto"/>
        <w:jc w:val="both"/>
        <w:rPr>
          <w:rFonts w:eastAsia="Calibri" w:cstheme="minorHAnsi"/>
        </w:rPr>
      </w:pPr>
    </w:p>
    <w:p w14:paraId="6509DDD2" w14:textId="77777777" w:rsidR="0067653C" w:rsidRDefault="0067653C" w:rsidP="00FC0B58">
      <w:pPr>
        <w:pBdr>
          <w:top w:val="nil"/>
          <w:left w:val="nil"/>
          <w:bottom w:val="nil"/>
          <w:right w:val="nil"/>
          <w:between w:val="nil"/>
        </w:pBdr>
        <w:spacing w:before="240" w:after="0" w:line="240" w:lineRule="auto"/>
        <w:jc w:val="both"/>
        <w:rPr>
          <w:rFonts w:eastAsia="Calibri" w:cstheme="minorHAnsi"/>
        </w:rPr>
      </w:pPr>
    </w:p>
    <w:p w14:paraId="1107F297" w14:textId="77777777" w:rsidR="0067653C" w:rsidRDefault="0067653C" w:rsidP="00FC0B58">
      <w:pPr>
        <w:pBdr>
          <w:top w:val="nil"/>
          <w:left w:val="nil"/>
          <w:bottom w:val="nil"/>
          <w:right w:val="nil"/>
          <w:between w:val="nil"/>
        </w:pBdr>
        <w:spacing w:before="240" w:after="0" w:line="240" w:lineRule="auto"/>
        <w:jc w:val="both"/>
        <w:rPr>
          <w:rFonts w:eastAsia="Calibri" w:cstheme="minorHAnsi"/>
        </w:rPr>
      </w:pPr>
    </w:p>
    <w:p w14:paraId="024DBD89" w14:textId="77777777" w:rsidR="0067653C" w:rsidRDefault="0067653C" w:rsidP="00FC0B58">
      <w:pPr>
        <w:pBdr>
          <w:top w:val="nil"/>
          <w:left w:val="nil"/>
          <w:bottom w:val="nil"/>
          <w:right w:val="nil"/>
          <w:between w:val="nil"/>
        </w:pBdr>
        <w:spacing w:before="240" w:after="0" w:line="240" w:lineRule="auto"/>
        <w:jc w:val="both"/>
        <w:rPr>
          <w:rFonts w:eastAsia="Calibri" w:cstheme="minorHAnsi"/>
        </w:rPr>
      </w:pPr>
    </w:p>
    <w:p w14:paraId="5D237736" w14:textId="77777777" w:rsidR="00FC0B58" w:rsidRPr="00C62B84" w:rsidRDefault="00FC0B58" w:rsidP="00FC0B58">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 xml:space="preserve">POR EL ÓRGANO DE CONTRATACIÓN </w:t>
      </w:r>
    </w:p>
    <w:p w14:paraId="34A132C0" w14:textId="77777777" w:rsidR="00FC0B58" w:rsidRPr="00C62B84" w:rsidRDefault="00FC0B58" w:rsidP="00FC0B58">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 xml:space="preserve">Presidente del Patronato y de la Comisión Delegada </w:t>
      </w:r>
    </w:p>
    <w:p w14:paraId="2724CB50" w14:textId="77777777" w:rsidR="00FC0B58" w:rsidRPr="00C62B84" w:rsidRDefault="00FC0B58" w:rsidP="00FC0B58">
      <w:pPr>
        <w:pBdr>
          <w:top w:val="nil"/>
          <w:left w:val="nil"/>
          <w:bottom w:val="nil"/>
          <w:right w:val="nil"/>
          <w:between w:val="nil"/>
        </w:pBdr>
        <w:spacing w:before="240" w:after="0" w:line="240" w:lineRule="auto"/>
        <w:ind w:left="3540"/>
        <w:jc w:val="right"/>
        <w:rPr>
          <w:rFonts w:eastAsia="Calibri" w:cstheme="minorHAnsi"/>
        </w:rPr>
      </w:pPr>
      <w:r w:rsidRPr="00C62B84">
        <w:rPr>
          <w:rFonts w:eastAsia="Calibri" w:cstheme="minorHAnsi"/>
        </w:rPr>
        <w:t>FIBH</w:t>
      </w:r>
      <w:r>
        <w:rPr>
          <w:rFonts w:eastAsia="Calibri" w:cstheme="minorHAnsi"/>
        </w:rPr>
        <w:t>UPH</w:t>
      </w:r>
    </w:p>
    <w:p w14:paraId="6D734297" w14:textId="77777777" w:rsidR="00227592" w:rsidRDefault="00227592"/>
    <w:sectPr w:rsidR="00227592" w:rsidSect="00FC0B58">
      <w:headerReference w:type="default" r:id="rId7"/>
      <w:footerReference w:type="default" r:id="rId8"/>
      <w:pgSz w:w="11906" w:h="16838"/>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BC1C3" w14:textId="77777777" w:rsidR="00926F7D" w:rsidRDefault="00926F7D" w:rsidP="00FC0B58">
      <w:pPr>
        <w:spacing w:after="0" w:line="240" w:lineRule="auto"/>
      </w:pPr>
      <w:r>
        <w:separator/>
      </w:r>
    </w:p>
  </w:endnote>
  <w:endnote w:type="continuationSeparator" w:id="0">
    <w:p w14:paraId="24B76E00" w14:textId="77777777" w:rsidR="00926F7D" w:rsidRDefault="00926F7D" w:rsidP="00FC0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85" w:type="dxa"/>
      <w:jc w:val="center"/>
      <w:tblLayout w:type="fixed"/>
      <w:tblLook w:val="04A0" w:firstRow="1" w:lastRow="0" w:firstColumn="1" w:lastColumn="0" w:noHBand="0" w:noVBand="1"/>
    </w:tblPr>
    <w:tblGrid>
      <w:gridCol w:w="1984"/>
      <w:gridCol w:w="2124"/>
      <w:gridCol w:w="2982"/>
      <w:gridCol w:w="1773"/>
      <w:gridCol w:w="1522"/>
    </w:tblGrid>
    <w:tr w:rsidR="00E22977" w14:paraId="5C1019AA" w14:textId="77777777" w:rsidTr="00BF7326">
      <w:trPr>
        <w:jc w:val="center"/>
      </w:trPr>
      <w:tc>
        <w:tcPr>
          <w:tcW w:w="1984" w:type="dxa"/>
          <w:shd w:val="clear" w:color="auto" w:fill="auto"/>
          <w:vAlign w:val="center"/>
        </w:tcPr>
        <w:p w14:paraId="6D69636F" w14:textId="2647A3E5" w:rsidR="00E22977" w:rsidRPr="0046551F" w:rsidRDefault="00E22977" w:rsidP="00E22977">
          <w:pPr>
            <w:ind w:hanging="247"/>
            <w:jc w:val="center"/>
            <w:rPr>
              <w:rFonts w:ascii="Calibri" w:hAnsi="Calibri"/>
              <w:sz w:val="18"/>
              <w:szCs w:val="18"/>
              <w:lang w:val="pt-BR"/>
            </w:rPr>
          </w:pPr>
          <w:r w:rsidRPr="0046551F">
            <w:rPr>
              <w:rFonts w:ascii="Calibri" w:hAnsi="Calibri"/>
              <w:noProof/>
              <w:sz w:val="18"/>
              <w:szCs w:val="18"/>
              <w:lang w:eastAsia="es-ES"/>
            </w:rPr>
            <w:drawing>
              <wp:inline distT="0" distB="0" distL="0" distR="0" wp14:anchorId="4E94657E" wp14:editId="5896A513">
                <wp:extent cx="1122680" cy="422275"/>
                <wp:effectExtent l="0" t="0" r="1270" b="0"/>
                <wp:docPr id="2108858416"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2680" cy="422275"/>
                        </a:xfrm>
                        <a:prstGeom prst="rect">
                          <a:avLst/>
                        </a:prstGeom>
                        <a:noFill/>
                        <a:ln>
                          <a:noFill/>
                        </a:ln>
                      </pic:spPr>
                    </pic:pic>
                  </a:graphicData>
                </a:graphic>
              </wp:inline>
            </w:drawing>
          </w:r>
        </w:p>
      </w:tc>
      <w:tc>
        <w:tcPr>
          <w:tcW w:w="2124" w:type="dxa"/>
          <w:shd w:val="clear" w:color="auto" w:fill="auto"/>
          <w:vAlign w:val="center"/>
        </w:tcPr>
        <w:p w14:paraId="7F1893C1" w14:textId="67059E87" w:rsidR="00E22977" w:rsidRPr="0046551F" w:rsidRDefault="00E22977" w:rsidP="00E22977">
          <w:pPr>
            <w:jc w:val="center"/>
            <w:rPr>
              <w:rFonts w:ascii="Calibri" w:hAnsi="Calibri"/>
              <w:sz w:val="18"/>
              <w:szCs w:val="18"/>
              <w:lang w:val="pt-BR"/>
            </w:rPr>
          </w:pPr>
          <w:r w:rsidRPr="009228B2">
            <w:rPr>
              <w:noProof/>
              <w:lang w:eastAsia="es-ES"/>
            </w:rPr>
            <w:drawing>
              <wp:inline distT="0" distB="0" distL="0" distR="0" wp14:anchorId="2E06784D" wp14:editId="47D239F1">
                <wp:extent cx="1117600" cy="431800"/>
                <wp:effectExtent l="0" t="0" r="6350" b="6350"/>
                <wp:docPr id="10047975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7600" cy="431800"/>
                        </a:xfrm>
                        <a:prstGeom prst="rect">
                          <a:avLst/>
                        </a:prstGeom>
                        <a:noFill/>
                        <a:ln>
                          <a:noFill/>
                        </a:ln>
                      </pic:spPr>
                    </pic:pic>
                  </a:graphicData>
                </a:graphic>
              </wp:inline>
            </w:drawing>
          </w:r>
        </w:p>
      </w:tc>
      <w:tc>
        <w:tcPr>
          <w:tcW w:w="2982" w:type="dxa"/>
          <w:shd w:val="clear" w:color="auto" w:fill="auto"/>
          <w:vAlign w:val="center"/>
        </w:tcPr>
        <w:p w14:paraId="6CE94BD2" w14:textId="6642A4DD" w:rsidR="00E22977" w:rsidRPr="0046551F" w:rsidRDefault="00E22977" w:rsidP="00E22977">
          <w:pPr>
            <w:tabs>
              <w:tab w:val="left" w:pos="2610"/>
            </w:tabs>
            <w:ind w:hanging="529"/>
            <w:jc w:val="center"/>
            <w:rPr>
              <w:rFonts w:ascii="Calibri" w:hAnsi="Calibri"/>
              <w:sz w:val="18"/>
              <w:szCs w:val="18"/>
              <w:lang w:val="pt-BR"/>
            </w:rPr>
          </w:pPr>
          <w:r w:rsidRPr="009228B2">
            <w:rPr>
              <w:noProof/>
              <w:lang w:eastAsia="es-ES"/>
            </w:rPr>
            <w:drawing>
              <wp:inline distT="0" distB="0" distL="0" distR="0" wp14:anchorId="49420088" wp14:editId="20E758B4">
                <wp:extent cx="1122680" cy="321945"/>
                <wp:effectExtent l="0" t="0" r="1270" b="1905"/>
                <wp:docPr id="18284609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22680" cy="321945"/>
                        </a:xfrm>
                        <a:prstGeom prst="rect">
                          <a:avLst/>
                        </a:prstGeom>
                        <a:noFill/>
                        <a:ln>
                          <a:noFill/>
                        </a:ln>
                      </pic:spPr>
                    </pic:pic>
                  </a:graphicData>
                </a:graphic>
              </wp:inline>
            </w:drawing>
          </w:r>
        </w:p>
      </w:tc>
      <w:tc>
        <w:tcPr>
          <w:tcW w:w="1773" w:type="dxa"/>
          <w:shd w:val="clear" w:color="auto" w:fill="auto"/>
          <w:vAlign w:val="center"/>
        </w:tcPr>
        <w:p w14:paraId="4D0EA91B" w14:textId="292C9CD6" w:rsidR="00E22977" w:rsidRPr="0046551F" w:rsidRDefault="00E22977" w:rsidP="00E22977">
          <w:pPr>
            <w:tabs>
              <w:tab w:val="left" w:pos="1942"/>
            </w:tabs>
            <w:ind w:left="379" w:hanging="783"/>
            <w:jc w:val="center"/>
            <w:rPr>
              <w:rFonts w:ascii="Calibri" w:hAnsi="Calibri"/>
              <w:sz w:val="18"/>
              <w:szCs w:val="18"/>
              <w:lang w:val="pt-BR"/>
            </w:rPr>
          </w:pPr>
          <w:r w:rsidRPr="009228B2">
            <w:rPr>
              <w:noProof/>
              <w:lang w:eastAsia="es-ES"/>
            </w:rPr>
            <w:drawing>
              <wp:inline distT="0" distB="0" distL="0" distR="0" wp14:anchorId="041B4417" wp14:editId="6B0E930F">
                <wp:extent cx="1041400" cy="516255"/>
                <wp:effectExtent l="0" t="0" r="6350" b="0"/>
                <wp:docPr id="55417659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41400" cy="516255"/>
                        </a:xfrm>
                        <a:prstGeom prst="rect">
                          <a:avLst/>
                        </a:prstGeom>
                        <a:noFill/>
                        <a:ln>
                          <a:noFill/>
                        </a:ln>
                      </pic:spPr>
                    </pic:pic>
                  </a:graphicData>
                </a:graphic>
              </wp:inline>
            </w:drawing>
          </w:r>
        </w:p>
      </w:tc>
      <w:tc>
        <w:tcPr>
          <w:tcW w:w="1522" w:type="dxa"/>
          <w:shd w:val="clear" w:color="auto" w:fill="auto"/>
          <w:vAlign w:val="center"/>
        </w:tcPr>
        <w:p w14:paraId="467A475A" w14:textId="4A7ADC5D" w:rsidR="00E22977" w:rsidRPr="0046551F" w:rsidRDefault="00E22977" w:rsidP="00E22977">
          <w:pPr>
            <w:tabs>
              <w:tab w:val="left" w:pos="1020"/>
            </w:tabs>
            <w:ind w:left="168" w:right="177"/>
            <w:jc w:val="center"/>
            <w:rPr>
              <w:rFonts w:ascii="Calibri" w:hAnsi="Calibri"/>
              <w:sz w:val="18"/>
              <w:szCs w:val="18"/>
              <w:lang w:val="pt-BR"/>
            </w:rPr>
          </w:pPr>
          <w:r w:rsidRPr="009228B2">
            <w:rPr>
              <w:noProof/>
              <w:lang w:eastAsia="es-ES"/>
            </w:rPr>
            <w:drawing>
              <wp:inline distT="0" distB="0" distL="0" distR="0" wp14:anchorId="250FE24D" wp14:editId="56530886">
                <wp:extent cx="652145" cy="728345"/>
                <wp:effectExtent l="0" t="0" r="0" b="0"/>
                <wp:docPr id="20447520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2145" cy="728345"/>
                        </a:xfrm>
                        <a:prstGeom prst="rect">
                          <a:avLst/>
                        </a:prstGeom>
                        <a:noFill/>
                        <a:ln>
                          <a:noFill/>
                        </a:ln>
                      </pic:spPr>
                    </pic:pic>
                  </a:graphicData>
                </a:graphic>
              </wp:inline>
            </w:drawing>
          </w:r>
        </w:p>
      </w:tc>
    </w:tr>
  </w:tbl>
  <w:p w14:paraId="180B9DF8" w14:textId="77777777" w:rsidR="001F258F" w:rsidRPr="00E22977" w:rsidRDefault="001F258F" w:rsidP="00E229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23C59" w14:textId="77777777" w:rsidR="00926F7D" w:rsidRDefault="00926F7D" w:rsidP="00FC0B58">
      <w:pPr>
        <w:spacing w:after="0" w:line="240" w:lineRule="auto"/>
      </w:pPr>
      <w:r>
        <w:separator/>
      </w:r>
    </w:p>
  </w:footnote>
  <w:footnote w:type="continuationSeparator" w:id="0">
    <w:p w14:paraId="567E6BE7" w14:textId="77777777" w:rsidR="00926F7D" w:rsidRDefault="00926F7D" w:rsidP="00FC0B58">
      <w:pPr>
        <w:spacing w:after="0" w:line="240" w:lineRule="auto"/>
      </w:pPr>
      <w:r>
        <w:continuationSeparator/>
      </w:r>
    </w:p>
  </w:footnote>
  <w:footnote w:id="1">
    <w:p w14:paraId="7F5CAE02" w14:textId="77777777" w:rsidR="002B4EEB" w:rsidRPr="00DD1118" w:rsidRDefault="002B4EEB" w:rsidP="002B4EEB">
      <w:pPr>
        <w:pStyle w:val="Textonotapie"/>
        <w:rPr>
          <w:rFonts w:cs="Times New Roman"/>
        </w:rPr>
      </w:pPr>
      <w:r w:rsidRPr="00DD1118">
        <w:rPr>
          <w:rStyle w:val="Refdenotaalpie"/>
          <w:rFonts w:cs="Times New Roman"/>
        </w:rPr>
        <w:footnoteRef/>
      </w:r>
      <w:r w:rsidRPr="00DD1118">
        <w:rPr>
          <w:rFonts w:cs="Times New Roman"/>
        </w:rPr>
        <w:t xml:space="preserve"> Podrá ser el precio o un planteamiento basado en la rentabilidad como el coste del ciclo de vida calculado según lo dispuesto en el artículo 148 de la LCSP. Si se incluye el coste del ciclo de vida debe indicarse los datos que deben facilitar los licitadores y el método que se utilizará para determinar los costes de ciclo de vida sobre la base de los datos aportados.</w:t>
      </w:r>
    </w:p>
  </w:footnote>
  <w:footnote w:id="2">
    <w:p w14:paraId="218C7B83" w14:textId="77777777" w:rsidR="002B4EEB" w:rsidRPr="0042487A" w:rsidRDefault="002B4EEB" w:rsidP="002B4EEB">
      <w:pPr>
        <w:pStyle w:val="footnotedescription"/>
        <w:spacing w:after="0" w:line="295" w:lineRule="auto"/>
        <w:ind w:right="764"/>
        <w:jc w:val="both"/>
      </w:pPr>
      <w:r w:rsidRPr="0042487A">
        <w:rPr>
          <w:rStyle w:val="footnotemark"/>
          <w:rFonts w:eastAsia="Calibri"/>
        </w:rPr>
        <w:footnoteRef/>
      </w:r>
      <w:r w:rsidRPr="0042487A">
        <w:t xml:space="preserve"> Reactivos para la generación de librerías genómicas que permita la identificación de </w:t>
      </w:r>
      <w:r>
        <w:t xml:space="preserve">perfiles de expresión de </w:t>
      </w:r>
      <w:proofErr w:type="spellStart"/>
      <w:r>
        <w:t>trasncriptoma</w:t>
      </w:r>
      <w:proofErr w:type="spellEnd"/>
      <w:r>
        <w:t xml:space="preserve"> completo (18.000 genes) en su contexto espacial sobre cortes de muestras de tejido fijado en formol y embebido en parafina (FFPE).</w:t>
      </w:r>
      <w:r w:rsidRPr="0042487A">
        <w:t xml:space="preserve"> La facturación de los productos se realizará por kits de producto entregados los cuales deben integrar los reactivos más los dispensables (fungible).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BFD8A" w14:textId="77777777" w:rsidR="001F258F" w:rsidRDefault="0067653C">
    <w:pPr>
      <w:pStyle w:val="Encabezado"/>
    </w:pPr>
    <w:r w:rsidRPr="000F5998">
      <w:rPr>
        <w:rFonts w:cs="Arial"/>
        <w:noProof/>
        <w:sz w:val="20"/>
        <w:szCs w:val="20"/>
        <w:lang w:eastAsia="es-ES"/>
      </w:rPr>
      <w:drawing>
        <wp:inline distT="0" distB="0" distL="0" distR="0" wp14:anchorId="2AB23CA0" wp14:editId="12CC8E82">
          <wp:extent cx="2641410" cy="514088"/>
          <wp:effectExtent l="0" t="0" r="6985" b="635"/>
          <wp:docPr id="996743073" name="Imagen 996743073"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32404" cy="57072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86CDE"/>
    <w:multiLevelType w:val="hybridMultilevel"/>
    <w:tmpl w:val="0A46930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32AA5DB9"/>
    <w:multiLevelType w:val="hybridMultilevel"/>
    <w:tmpl w:val="A4BE8220"/>
    <w:lvl w:ilvl="0" w:tplc="4C861C8E">
      <w:numFmt w:val="bullet"/>
      <w:lvlText w:val="•"/>
      <w:lvlJc w:val="left"/>
      <w:pPr>
        <w:ind w:left="1068" w:hanging="708"/>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3F2652E"/>
    <w:multiLevelType w:val="hybridMultilevel"/>
    <w:tmpl w:val="B942B732"/>
    <w:lvl w:ilvl="0" w:tplc="964EDDAA">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AAA8AB8">
      <w:start w:val="1"/>
      <w:numFmt w:val="bullet"/>
      <w:lvlText w:val="o"/>
      <w:lvlJc w:val="left"/>
      <w:pPr>
        <w:ind w:left="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1E171C">
      <w:start w:val="1"/>
      <w:numFmt w:val="bullet"/>
      <w:lvlText w:val="▪"/>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D47A9E">
      <w:start w:val="1"/>
      <w:numFmt w:val="bullet"/>
      <w:lvlText w:val="•"/>
      <w:lvlJc w:val="left"/>
      <w:pPr>
        <w:ind w:left="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98CBD7C">
      <w:start w:val="1"/>
      <w:numFmt w:val="bullet"/>
      <w:lvlRestart w:val="0"/>
      <w:lvlText w:val="•"/>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AEB1B6">
      <w:start w:val="1"/>
      <w:numFmt w:val="bullet"/>
      <w:lvlText w:val="▪"/>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82CCC8">
      <w:start w:val="1"/>
      <w:numFmt w:val="bullet"/>
      <w:lvlText w:val="•"/>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AEBC9A">
      <w:start w:val="1"/>
      <w:numFmt w:val="bullet"/>
      <w:lvlText w:val="o"/>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AECDFD4">
      <w:start w:val="1"/>
      <w:numFmt w:val="bullet"/>
      <w:lvlText w:val="▪"/>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B58"/>
    <w:rsid w:val="0006393D"/>
    <w:rsid w:val="000D2CD4"/>
    <w:rsid w:val="00113CAE"/>
    <w:rsid w:val="001F258F"/>
    <w:rsid w:val="00227592"/>
    <w:rsid w:val="00276EF8"/>
    <w:rsid w:val="00277BDD"/>
    <w:rsid w:val="00297329"/>
    <w:rsid w:val="002B3F96"/>
    <w:rsid w:val="002B4EEB"/>
    <w:rsid w:val="00394C58"/>
    <w:rsid w:val="00404050"/>
    <w:rsid w:val="005441FA"/>
    <w:rsid w:val="00583EBB"/>
    <w:rsid w:val="005B02F9"/>
    <w:rsid w:val="005D6B65"/>
    <w:rsid w:val="00602E1C"/>
    <w:rsid w:val="0067653C"/>
    <w:rsid w:val="0075185E"/>
    <w:rsid w:val="00754637"/>
    <w:rsid w:val="00831FF4"/>
    <w:rsid w:val="00846377"/>
    <w:rsid w:val="008A1DC1"/>
    <w:rsid w:val="008C48C3"/>
    <w:rsid w:val="00926F7D"/>
    <w:rsid w:val="00B05401"/>
    <w:rsid w:val="00BF61A0"/>
    <w:rsid w:val="00C56BB3"/>
    <w:rsid w:val="00D65120"/>
    <w:rsid w:val="00DA3221"/>
    <w:rsid w:val="00DD7C62"/>
    <w:rsid w:val="00E0789C"/>
    <w:rsid w:val="00E22977"/>
    <w:rsid w:val="00E66654"/>
    <w:rsid w:val="00E81F9C"/>
    <w:rsid w:val="00EF5FCA"/>
    <w:rsid w:val="00F049BC"/>
    <w:rsid w:val="00F20F73"/>
    <w:rsid w:val="00F22FBF"/>
    <w:rsid w:val="00F67645"/>
    <w:rsid w:val="00FC0B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EB7B6"/>
  <w15:chartTrackingRefBased/>
  <w15:docId w15:val="{BBFBDE7F-E77D-4686-9417-A1D6A6D4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B58"/>
    <w:rPr>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C0B58"/>
    <w:pPr>
      <w:tabs>
        <w:tab w:val="center" w:pos="4252"/>
        <w:tab w:val="right" w:pos="8504"/>
      </w:tabs>
      <w:spacing w:after="0" w:line="240" w:lineRule="auto"/>
    </w:pPr>
  </w:style>
  <w:style w:type="character" w:customStyle="1" w:styleId="EncabezadoCar">
    <w:name w:val="Encabezado Car"/>
    <w:basedOn w:val="Fuentedeprrafopredeter"/>
    <w:link w:val="Encabezado"/>
    <w:rsid w:val="00FC0B58"/>
    <w:rPr>
      <w:kern w:val="0"/>
      <w14:ligatures w14:val="none"/>
    </w:rPr>
  </w:style>
  <w:style w:type="paragraph" w:styleId="Piedepgina">
    <w:name w:val="footer"/>
    <w:basedOn w:val="Normal"/>
    <w:link w:val="PiedepginaCar"/>
    <w:uiPriority w:val="99"/>
    <w:unhideWhenUsed/>
    <w:rsid w:val="00FC0B5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0B58"/>
    <w:rPr>
      <w:kern w:val="0"/>
      <w14:ligatures w14:val="none"/>
    </w:rPr>
  </w:style>
  <w:style w:type="character" w:styleId="Refdenotaalpie">
    <w:name w:val="footnote reference"/>
    <w:uiPriority w:val="99"/>
    <w:rsid w:val="00FC0B58"/>
    <w:rPr>
      <w:vertAlign w:val="superscript"/>
    </w:rPr>
  </w:style>
  <w:style w:type="paragraph" w:styleId="Textonotapie">
    <w:name w:val="footnote text"/>
    <w:basedOn w:val="Normal"/>
    <w:link w:val="TextonotapieCar"/>
    <w:uiPriority w:val="99"/>
    <w:rsid w:val="00FC0B58"/>
    <w:pPr>
      <w:widowControl w:val="0"/>
      <w:autoSpaceDE w:val="0"/>
      <w:autoSpaceDN w:val="0"/>
      <w:adjustRightInd w:val="0"/>
      <w:spacing w:before="240" w:after="240" w:line="288" w:lineRule="auto"/>
      <w:jc w:val="both"/>
    </w:pPr>
    <w:rPr>
      <w:rFonts w:ascii="Times New Roman" w:eastAsia="Times New Roman" w:hAnsi="Times New Roman" w:cs="Courier New"/>
      <w:sz w:val="20"/>
      <w:szCs w:val="20"/>
      <w:lang w:eastAsia="es-ES"/>
    </w:rPr>
  </w:style>
  <w:style w:type="character" w:customStyle="1" w:styleId="TextonotapieCar">
    <w:name w:val="Texto nota pie Car"/>
    <w:basedOn w:val="Fuentedeprrafopredeter"/>
    <w:link w:val="Textonotapie"/>
    <w:uiPriority w:val="99"/>
    <w:rsid w:val="00FC0B58"/>
    <w:rPr>
      <w:rFonts w:ascii="Times New Roman" w:eastAsia="Times New Roman" w:hAnsi="Times New Roman" w:cs="Courier New"/>
      <w:kern w:val="0"/>
      <w:sz w:val="20"/>
      <w:szCs w:val="20"/>
      <w:lang w:eastAsia="es-ES"/>
      <w14:ligatures w14:val="none"/>
    </w:rPr>
  </w:style>
  <w:style w:type="paragraph" w:customStyle="1" w:styleId="footnotedescription">
    <w:name w:val="footnote description"/>
    <w:next w:val="Normal"/>
    <w:link w:val="footnotedescriptionChar"/>
    <w:hidden/>
    <w:rsid w:val="002B4EEB"/>
    <w:pPr>
      <w:spacing w:after="81"/>
      <w:ind w:left="142"/>
    </w:pPr>
    <w:rPr>
      <w:rFonts w:ascii="Calibri" w:eastAsia="Calibri" w:hAnsi="Calibri" w:cs="Calibri"/>
      <w:color w:val="000000"/>
      <w:sz w:val="20"/>
      <w:lang w:eastAsia="es-ES"/>
      <w14:ligatures w14:val="none"/>
    </w:rPr>
  </w:style>
  <w:style w:type="character" w:customStyle="1" w:styleId="footnotedescriptionChar">
    <w:name w:val="footnote description Char"/>
    <w:link w:val="footnotedescription"/>
    <w:rsid w:val="002B4EEB"/>
    <w:rPr>
      <w:rFonts w:ascii="Calibri" w:eastAsia="Calibri" w:hAnsi="Calibri" w:cs="Calibri"/>
      <w:color w:val="000000"/>
      <w:sz w:val="20"/>
      <w:lang w:eastAsia="es-ES"/>
      <w14:ligatures w14:val="none"/>
    </w:rPr>
  </w:style>
  <w:style w:type="character" w:customStyle="1" w:styleId="footnotemark">
    <w:name w:val="footnote mark"/>
    <w:hidden/>
    <w:rsid w:val="002B4EEB"/>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1146</TotalTime>
  <Pages>7</Pages>
  <Words>2417</Words>
  <Characters>13296</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MUÑOZ SANCHEZ</dc:creator>
  <cp:keywords/>
  <dc:description/>
  <cp:lastModifiedBy>Ugarte Colmenero.Alberto</cp:lastModifiedBy>
  <cp:revision>4</cp:revision>
  <dcterms:created xsi:type="dcterms:W3CDTF">2025-05-20T12:51:00Z</dcterms:created>
  <dcterms:modified xsi:type="dcterms:W3CDTF">2025-05-22T07:36:00Z</dcterms:modified>
</cp:coreProperties>
</file>