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336CE" w14:textId="63ACDC71" w:rsidR="00FC0B58" w:rsidRPr="00C62B84" w:rsidRDefault="00FC0B58" w:rsidP="00FC0B58">
      <w:pPr>
        <w:spacing w:after="0" w:line="276" w:lineRule="auto"/>
        <w:ind w:right="707"/>
        <w:jc w:val="both"/>
        <w:rPr>
          <w:rFonts w:eastAsia="Calibri" w:cstheme="minorHAnsi"/>
          <w:b/>
          <w:bCs/>
          <w:smallCaps/>
          <w:color w:val="5B9BD5"/>
          <w:spacing w:val="5"/>
        </w:rPr>
      </w:pPr>
      <w:r w:rsidRPr="00C62B84">
        <w:rPr>
          <w:rFonts w:eastAsia="Calibri" w:cstheme="minorHAnsi"/>
          <w:b/>
          <w:bCs/>
          <w:smallCaps/>
          <w:color w:val="5B9BD5"/>
          <w:spacing w:val="5"/>
        </w:rPr>
        <w:t xml:space="preserve">Nº EXPEDIENTE: </w:t>
      </w:r>
      <w:r w:rsidR="00CA11E1">
        <w:rPr>
          <w:rFonts w:eastAsia="Calibri" w:cstheme="minorHAnsi"/>
          <w:b/>
          <w:bCs/>
          <w:smallCaps/>
          <w:color w:val="5B9BD5"/>
          <w:spacing w:val="5"/>
        </w:rPr>
        <w:t>PA SUM 2025-2</w:t>
      </w:r>
      <w:r w:rsidR="00F67645">
        <w:rPr>
          <w:rFonts w:eastAsia="Calibri" w:cstheme="minorHAnsi"/>
          <w:b/>
          <w:bCs/>
          <w:smallCaps/>
          <w:color w:val="5B9BD5"/>
          <w:spacing w:val="5"/>
        </w:rPr>
        <w:t xml:space="preserve"> SIMP</w:t>
      </w:r>
    </w:p>
    <w:p w14:paraId="196A47D8" w14:textId="0FADA3BC" w:rsidR="00FC0B58" w:rsidRPr="00113CAE" w:rsidRDefault="00FC0B58" w:rsidP="00FC0B58">
      <w:pPr>
        <w:spacing w:after="0"/>
        <w:jc w:val="both"/>
        <w:rPr>
          <w:rFonts w:eastAsia="Calibri" w:cstheme="minorHAnsi"/>
          <w:b/>
          <w:bCs/>
          <w:i/>
          <w:iCs/>
          <w:smallCaps/>
          <w:color w:val="5B9BD5"/>
          <w:spacing w:val="5"/>
        </w:rPr>
      </w:pPr>
      <w:r w:rsidRPr="00C62B84">
        <w:rPr>
          <w:rFonts w:eastAsia="Calibri" w:cstheme="minorHAnsi"/>
          <w:b/>
          <w:bCs/>
          <w:smallCaps/>
          <w:color w:val="5B9BD5"/>
          <w:spacing w:val="5"/>
        </w:rPr>
        <w:t xml:space="preserve">MEMORIA JUSTIFICATIVA DE LA NECESIDAD Y ECONÓMICA PARA LA CONTRATACIÓN DEL </w:t>
      </w:r>
      <w:r w:rsidR="00CA11E1" w:rsidRPr="00CA11E1">
        <w:rPr>
          <w:rFonts w:eastAsia="Calibri" w:cstheme="minorHAnsi"/>
          <w:b/>
          <w:bCs/>
          <w:smallCaps/>
          <w:color w:val="5B9BD5"/>
          <w:spacing w:val="5"/>
        </w:rPr>
        <w:t>SUMINISTRO PARA LA ADQUISICIÓN DE REACTIVOS SECUENCIA MASIVA PARA EL PROYECTO DE FONDO DE INVESTIGACIONES SANITARIAS (FIS) DEL INSTITUTO DE SALUD CARLOS III:  PAPEL DE LA MICROBIOTA INTESTINAL EN LA RESPUESTA A LA QUIMIO-INMUNOTERAPIA EN CÁNCER DE PULMÓN DE CÉLULAS NO PEQUEÑAS PARA LA INVESTIGACIÓN BIOMÉDICA DEL HOSPITAL UNIVERSITARIO PUERTA DE HIERRO MAJADAHONDA</w:t>
      </w:r>
      <w:r w:rsidRPr="00C62B84">
        <w:rPr>
          <w:rFonts w:eastAsia="Calibri" w:cstheme="minorHAnsi"/>
          <w:b/>
          <w:bCs/>
          <w:smallCaps/>
          <w:color w:val="5B9BD5"/>
          <w:spacing w:val="5"/>
        </w:rPr>
        <w:t>.</w:t>
      </w:r>
    </w:p>
    <w:p w14:paraId="1D52D621" w14:textId="77777777" w:rsidR="00FC0B58" w:rsidRPr="00C62B84" w:rsidRDefault="00FC0B58" w:rsidP="00FC0B58">
      <w:pPr>
        <w:autoSpaceDE w:val="0"/>
        <w:autoSpaceDN w:val="0"/>
        <w:adjustRightInd w:val="0"/>
        <w:spacing w:after="0" w:line="240" w:lineRule="auto"/>
        <w:jc w:val="both"/>
        <w:rPr>
          <w:rFonts w:eastAsia="Calibri" w:cstheme="minorHAnsi"/>
          <w:smallCaps/>
          <w:color w:val="5B9BD5"/>
          <w:spacing w:val="5"/>
        </w:rPr>
      </w:pPr>
    </w:p>
    <w:p w14:paraId="0DED6D5C"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1.-NECESIDAD Y FINALIDAD INSTITUCIONAL</w:t>
      </w:r>
    </w:p>
    <w:p w14:paraId="68890CD4" w14:textId="77777777" w:rsidR="00FC0B58" w:rsidRDefault="00FC0B58" w:rsidP="00FC0B58">
      <w:pPr>
        <w:spacing w:after="0"/>
        <w:jc w:val="both"/>
        <w:rPr>
          <w:rFonts w:eastAsia="Calibri" w:cstheme="minorHAnsi"/>
          <w:b/>
          <w:bCs/>
          <w:smallCaps/>
          <w:color w:val="5B9BD5"/>
          <w:spacing w:val="5"/>
          <w:highlight w:val="yellow"/>
        </w:rPr>
      </w:pPr>
    </w:p>
    <w:p w14:paraId="6CBE19DF" w14:textId="4CA8563F" w:rsidR="00FC0B58" w:rsidRPr="00765E7A" w:rsidRDefault="00FC0B58" w:rsidP="00FC0B58">
      <w:pPr>
        <w:spacing w:after="0"/>
        <w:jc w:val="both"/>
        <w:rPr>
          <w:rFonts w:eastAsia="Calibri" w:cstheme="minorHAnsi"/>
        </w:rPr>
      </w:pPr>
      <w:r w:rsidRPr="00765E7A">
        <w:rPr>
          <w:rFonts w:eastAsia="Calibri" w:cstheme="minorHAnsi"/>
        </w:rPr>
        <w:t xml:space="preserve">De conformidad con las competencias y funciones que los Estatutos de la Fundación atribuyen a la misma, le corresponden a ésta promover la </w:t>
      </w:r>
      <w:r w:rsidR="005B02F9" w:rsidRPr="00765E7A">
        <w:rPr>
          <w:rFonts w:eastAsia="Calibri" w:cstheme="minorHAnsi"/>
        </w:rPr>
        <w:t>investigación científica</w:t>
      </w:r>
      <w:r w:rsidRPr="00765E7A">
        <w:rPr>
          <w:rFonts w:eastAsia="Calibri" w:cstheme="minorHAnsi"/>
        </w:rPr>
        <w:t xml:space="preserve"> – técnica, así como, la formación y docencia en el área de ciencias de la salud, con el objetivo de potenciar la calidad asistencial. En aras de poder dar cumplimiento a tal propósito, la FIBHUPH necesita contratar el suministro</w:t>
      </w:r>
      <w:r>
        <w:rPr>
          <w:rFonts w:eastAsia="Calibri" w:cstheme="minorHAnsi"/>
        </w:rPr>
        <w:t xml:space="preserve"> </w:t>
      </w:r>
      <w:r w:rsidR="00CA11E1" w:rsidRPr="00CA11E1">
        <w:rPr>
          <w:rFonts w:eastAsia="Calibri" w:cstheme="minorHAnsi"/>
        </w:rPr>
        <w:t>para la adquisición de reactivos secuen</w:t>
      </w:r>
      <w:r w:rsidR="00CA11E1">
        <w:rPr>
          <w:rFonts w:eastAsia="Calibri" w:cstheme="minorHAnsi"/>
        </w:rPr>
        <w:t>cia masiva para el proyecto de Fondo de Investigaciones Sanitarias (FIS) del Instituto de salud C</w:t>
      </w:r>
      <w:r w:rsidR="00CA11E1" w:rsidRPr="00CA11E1">
        <w:rPr>
          <w:rFonts w:eastAsia="Calibri" w:cstheme="minorHAnsi"/>
        </w:rPr>
        <w:t>arlos</w:t>
      </w:r>
      <w:r w:rsidR="00CA11E1">
        <w:rPr>
          <w:rFonts w:eastAsia="Calibri" w:cstheme="minorHAnsi"/>
        </w:rPr>
        <w:t xml:space="preserve"> III</w:t>
      </w:r>
      <w:r w:rsidR="00CA11E1" w:rsidRPr="00CA11E1">
        <w:rPr>
          <w:rFonts w:eastAsia="Calibri" w:cstheme="minorHAnsi"/>
        </w:rPr>
        <w:t>:  papel de la microbiota intestinal en la respuesta a la quimio-inmunoterapia en cáncer de pulmón de células no pequeñas</w:t>
      </w:r>
      <w:r>
        <w:rPr>
          <w:rFonts w:eastAsia="Calibri" w:cstheme="minorHAnsi"/>
        </w:rPr>
        <w:t xml:space="preserve">. </w:t>
      </w:r>
    </w:p>
    <w:p w14:paraId="53F37FB0" w14:textId="77777777" w:rsidR="00FC0B58" w:rsidRPr="00C62B84" w:rsidRDefault="00FC0B58" w:rsidP="00FC0B58">
      <w:pPr>
        <w:autoSpaceDE w:val="0"/>
        <w:autoSpaceDN w:val="0"/>
        <w:adjustRightInd w:val="0"/>
        <w:spacing w:after="0" w:line="240" w:lineRule="auto"/>
        <w:jc w:val="both"/>
        <w:rPr>
          <w:rFonts w:eastAsia="Calibri" w:cstheme="minorHAnsi"/>
          <w:highlight w:val="yellow"/>
          <w:lang w:val="es-ES_tradnl"/>
        </w:rPr>
      </w:pPr>
    </w:p>
    <w:p w14:paraId="1B3DD063" w14:textId="77777777" w:rsidR="005B02F9"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2.- OBJETO DEL CONTRATO Y JUSTIFICACIÓN DE LA NECESIDAD</w:t>
      </w:r>
    </w:p>
    <w:p w14:paraId="4089F5DA" w14:textId="77777777" w:rsidR="005B02F9" w:rsidRDefault="005B02F9" w:rsidP="00FC0B58">
      <w:pPr>
        <w:autoSpaceDE w:val="0"/>
        <w:autoSpaceDN w:val="0"/>
        <w:adjustRightInd w:val="0"/>
        <w:spacing w:after="0" w:line="240" w:lineRule="auto"/>
        <w:jc w:val="both"/>
        <w:rPr>
          <w:rFonts w:eastAsia="Calibri" w:cstheme="minorHAnsi"/>
          <w:b/>
          <w:bCs/>
          <w:smallCaps/>
          <w:color w:val="5B9BD5"/>
          <w:spacing w:val="5"/>
        </w:rPr>
      </w:pPr>
    </w:p>
    <w:p w14:paraId="07A989B6" w14:textId="6C550AD4" w:rsidR="005B02F9" w:rsidRPr="00113CAE" w:rsidRDefault="00CA11E1" w:rsidP="00113CAE">
      <w:pPr>
        <w:spacing w:after="0"/>
        <w:jc w:val="both"/>
        <w:rPr>
          <w:rFonts w:eastAsia="Calibri" w:cstheme="minorHAnsi"/>
        </w:rPr>
      </w:pPr>
      <w:r w:rsidRPr="00CA11E1">
        <w:rPr>
          <w:rFonts w:eastAsia="Calibri" w:cstheme="minorHAnsi"/>
        </w:rPr>
        <w:t xml:space="preserve">El objeto del presente contrato es establecer las condiciones técnicas y económicas que han de regir el suministro de determinado material fungible para el Laboratorio del Servicio de Oncología Médica del Hospital Universitario Puerta de Hierro para realizar las tareas del proyecto FIS “Papel de la microbiota intestinal en la respuesta a la quimio-inmunoterapia en cáncer de pulmón de células no pequeñas” (PI24/01725), subvencionado por el Fondo Europeo de Desarrollo Regional, dentro del Programa </w:t>
      </w:r>
      <w:proofErr w:type="spellStart"/>
      <w:r w:rsidRPr="00CA11E1">
        <w:rPr>
          <w:rFonts w:eastAsia="Calibri" w:cstheme="minorHAnsi"/>
        </w:rPr>
        <w:t>Plurirregional</w:t>
      </w:r>
      <w:proofErr w:type="spellEnd"/>
      <w:r w:rsidRPr="00CA11E1">
        <w:rPr>
          <w:rFonts w:eastAsia="Calibri" w:cstheme="minorHAnsi"/>
        </w:rPr>
        <w:t xml:space="preserve"> de España FEDER 2021-2027</w:t>
      </w:r>
      <w:r w:rsidR="005B02F9" w:rsidRPr="00113CAE">
        <w:rPr>
          <w:rFonts w:eastAsia="Calibri" w:cstheme="minorHAnsi"/>
        </w:rPr>
        <w:t xml:space="preserve">. </w:t>
      </w:r>
    </w:p>
    <w:p w14:paraId="3F76708F" w14:textId="2D70195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 </w:t>
      </w:r>
    </w:p>
    <w:p w14:paraId="3EB03905"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3.- JUSTIFICACIÓN DE LA NO DIVISIÓN EN LOTES</w:t>
      </w:r>
    </w:p>
    <w:p w14:paraId="09883795"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49C8FC89"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3E8CF075"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p>
    <w:p w14:paraId="3FF1866E"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2FBF0034"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p>
    <w:p w14:paraId="4D77A75A" w14:textId="63AB37A0" w:rsidR="00FC0B58"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La integración del suministro en un único lote permitirá optimizar los recursos y mejorar la eficacia y eficiencia de los mismos ya que en virtud de la interrelación que existe entre las prestaciones, resulta imprescindible a nivel operativo, que la totalidad del contrato sea ejecutado por una sola empresa.</w:t>
      </w:r>
    </w:p>
    <w:p w14:paraId="025C0715" w14:textId="6681D8BD" w:rsidR="00FC0B58" w:rsidRDefault="00FC0B58" w:rsidP="00FC0B58">
      <w:pPr>
        <w:pBdr>
          <w:top w:val="nil"/>
          <w:left w:val="nil"/>
          <w:bottom w:val="nil"/>
          <w:right w:val="nil"/>
          <w:between w:val="nil"/>
        </w:pBdr>
        <w:spacing w:after="0" w:line="240" w:lineRule="auto"/>
        <w:jc w:val="both"/>
        <w:rPr>
          <w:rFonts w:eastAsia="Calibri" w:cstheme="minorHAnsi"/>
        </w:rPr>
      </w:pPr>
    </w:p>
    <w:p w14:paraId="7E99AA83" w14:textId="77777777" w:rsidR="00BA7D4F" w:rsidRDefault="00FC0B58" w:rsidP="00BA7D4F">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4.- CODIFICACIÓN DEL OBJETO DEL CONTRATO</w:t>
      </w:r>
    </w:p>
    <w:p w14:paraId="37834022" w14:textId="3FA02AE0" w:rsidR="00F22FBF" w:rsidRPr="00BA7D4F" w:rsidRDefault="00FC0B58" w:rsidP="00BA7D4F">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rPr>
        <w:lastRenderedPageBreak/>
        <w:t xml:space="preserve">A los efectos del Reglamento (CE) Nº 213/2008, de 28 de noviembre de 2007, sobre la codificación correspondiente a la nomenclatura del vocabulario Común de Contratos Públicos (CPV), </w:t>
      </w:r>
      <w:r w:rsidR="00754637" w:rsidRPr="00C62B84">
        <w:rPr>
          <w:rFonts w:eastAsia="Calibri" w:cstheme="minorHAnsi"/>
        </w:rPr>
        <w:t>les</w:t>
      </w:r>
      <w:r w:rsidRPr="00C62B84">
        <w:rPr>
          <w:rFonts w:eastAsia="Calibri" w:cstheme="minorHAnsi"/>
        </w:rPr>
        <w:t xml:space="preserve"> corresponde </w:t>
      </w:r>
      <w:r>
        <w:rPr>
          <w:rFonts w:eastAsia="Calibri" w:cstheme="minorHAnsi"/>
        </w:rPr>
        <w:t xml:space="preserve">a los siguientes códigos: </w:t>
      </w:r>
    </w:p>
    <w:p w14:paraId="55AD20AA" w14:textId="77777777" w:rsidR="00F22FBF" w:rsidRDefault="00F22FBF" w:rsidP="00FC0B58">
      <w:pPr>
        <w:pBdr>
          <w:top w:val="nil"/>
          <w:left w:val="nil"/>
          <w:bottom w:val="nil"/>
          <w:right w:val="nil"/>
          <w:between w:val="nil"/>
        </w:pBdr>
        <w:spacing w:after="0" w:line="240" w:lineRule="auto"/>
        <w:jc w:val="both"/>
        <w:rPr>
          <w:rFonts w:eastAsia="Calibri" w:cstheme="minorHAnsi"/>
        </w:rPr>
      </w:pPr>
    </w:p>
    <w:p w14:paraId="203B7FA8" w14:textId="77777777" w:rsidR="00F22FBF" w:rsidRDefault="00FC0B58" w:rsidP="00FC0B58">
      <w:pPr>
        <w:pBdr>
          <w:top w:val="nil"/>
          <w:left w:val="nil"/>
          <w:bottom w:val="nil"/>
          <w:right w:val="nil"/>
          <w:between w:val="nil"/>
        </w:pBdr>
        <w:spacing w:after="0" w:line="240" w:lineRule="auto"/>
        <w:jc w:val="both"/>
        <w:rPr>
          <w:rFonts w:eastAsia="Calibri" w:cstheme="minorHAnsi"/>
        </w:rPr>
      </w:pPr>
      <w:r w:rsidRPr="00FC0B58">
        <w:rPr>
          <w:rFonts w:eastAsia="Calibri" w:cstheme="minorHAnsi"/>
        </w:rPr>
        <w:t>33696300-8    Reactivo químico</w:t>
      </w:r>
      <w:r w:rsidR="005B02F9">
        <w:rPr>
          <w:rFonts w:eastAsia="Calibri" w:cstheme="minorHAnsi"/>
        </w:rPr>
        <w:t xml:space="preserve"> </w:t>
      </w:r>
    </w:p>
    <w:p w14:paraId="4DA06826" w14:textId="0C793038"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FC0B58">
        <w:rPr>
          <w:rFonts w:eastAsia="Calibri" w:cstheme="minorHAnsi"/>
        </w:rPr>
        <w:t>33696500-0    Reactivos de laboratorio</w:t>
      </w:r>
      <w:r w:rsidRPr="00C62B84">
        <w:rPr>
          <w:rFonts w:eastAsia="Calibri" w:cstheme="minorHAnsi"/>
        </w:rPr>
        <w:t>.</w:t>
      </w:r>
    </w:p>
    <w:p w14:paraId="1DC85059"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28BF384E"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5.- CARACTERÍSTICAS DEL SUMINISTRO</w:t>
      </w:r>
    </w:p>
    <w:p w14:paraId="4ADFD73C"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0850FCE8"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Las características técnicas del suministro que integra el expediente de contratación, se encuentran detalladas en el pliego técnico.</w:t>
      </w:r>
    </w:p>
    <w:p w14:paraId="2602F72C"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5AD110E0"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6.- PLAZO DE EJECUCIÓN</w:t>
      </w:r>
    </w:p>
    <w:p w14:paraId="21813C91"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75FD3C52" w14:textId="1CCDEEC3" w:rsidR="00FC0B58" w:rsidRDefault="00FC0B58" w:rsidP="00FC0B58">
      <w:pPr>
        <w:pBdr>
          <w:top w:val="nil"/>
          <w:left w:val="nil"/>
          <w:bottom w:val="nil"/>
          <w:right w:val="nil"/>
          <w:between w:val="nil"/>
        </w:pBdr>
        <w:spacing w:after="0" w:line="240" w:lineRule="auto"/>
        <w:jc w:val="both"/>
        <w:rPr>
          <w:rFonts w:eastAsia="Calibri" w:cstheme="minorHAnsi"/>
        </w:rPr>
      </w:pPr>
      <w:r w:rsidRPr="00E74D31">
        <w:rPr>
          <w:rFonts w:eastAsia="Calibri" w:cstheme="minorHAnsi"/>
        </w:rPr>
        <w:t xml:space="preserve">Se estima que el plazo de ejecución del contrato coincidirá con la duración efectiva del proyecto de Investigación para el que se realiza el servicio </w:t>
      </w:r>
      <w:r w:rsidR="00B05401">
        <w:rPr>
          <w:rFonts w:eastAsia="Calibri" w:cstheme="minorHAnsi"/>
        </w:rPr>
        <w:t>cuya fin</w:t>
      </w:r>
      <w:r w:rsidR="001D63A1">
        <w:rPr>
          <w:rFonts w:eastAsia="Calibri" w:cstheme="minorHAnsi"/>
        </w:rPr>
        <w:t>alización está prevista a los 12</w:t>
      </w:r>
      <w:r w:rsidR="00B05401">
        <w:rPr>
          <w:rFonts w:eastAsia="Calibri" w:cstheme="minorHAnsi"/>
        </w:rPr>
        <w:t xml:space="preserve"> meses </w:t>
      </w:r>
      <w:r w:rsidR="00F22FBF" w:rsidRPr="00E74D31">
        <w:rPr>
          <w:rFonts w:eastAsia="Calibri" w:cstheme="minorHAnsi"/>
        </w:rPr>
        <w:t>desde</w:t>
      </w:r>
      <w:r w:rsidRPr="00E74D31">
        <w:rPr>
          <w:rFonts w:eastAsia="Calibri" w:cstheme="minorHAnsi"/>
        </w:rPr>
        <w:t xml:space="preserve"> la fecha de adjudicación o hasta el consumo del total de reactivos.</w:t>
      </w:r>
    </w:p>
    <w:p w14:paraId="0F001818"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11A8FF67"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7.- PRESUPUESTO Y VALOR ESTIMADO DEL CONTRATO</w:t>
      </w:r>
    </w:p>
    <w:p w14:paraId="60946C43" w14:textId="3EF064D0" w:rsidR="001D63A1" w:rsidRPr="001D63A1" w:rsidRDefault="001D63A1" w:rsidP="001D63A1">
      <w:pPr>
        <w:pBdr>
          <w:top w:val="nil"/>
          <w:left w:val="nil"/>
          <w:bottom w:val="nil"/>
          <w:right w:val="nil"/>
          <w:between w:val="nil"/>
        </w:pBdr>
        <w:spacing w:before="240" w:after="0" w:line="240" w:lineRule="auto"/>
        <w:jc w:val="both"/>
        <w:rPr>
          <w:rFonts w:eastAsia="Calibri" w:cstheme="minorHAnsi"/>
        </w:rPr>
      </w:pPr>
      <w:r>
        <w:rPr>
          <w:rFonts w:eastAsia="Calibri" w:cstheme="minorHAnsi"/>
        </w:rPr>
        <w:t xml:space="preserve">Para el </w:t>
      </w:r>
      <w:r w:rsidRPr="001D63A1">
        <w:rPr>
          <w:rFonts w:eastAsia="Calibri" w:cstheme="minorHAnsi"/>
        </w:rPr>
        <w:t>cálculo del valor estimado (112.318,80 euros) se ha tenido en consideración el importe total, sin incluir el Impuesto sobre el Valor Añadido, así como el posible incremento del número de unidades hasta el porcentaje del DIEZ POR CIENTO (10%) del precio del contrato sin necesidad de tramitar un expediente de modificación, dado que la determinación del precio del contrato se ha realizado con base a precios unitarios. El valor estimado contempla el importe máximo previsto para el contrato e incluye la duración inicial y las prórrogas y/o modificaci</w:t>
      </w:r>
      <w:r>
        <w:rPr>
          <w:rFonts w:eastAsia="Calibri" w:cstheme="minorHAnsi"/>
        </w:rPr>
        <w:t>ones previstas, si las hubiere.</w:t>
      </w:r>
    </w:p>
    <w:p w14:paraId="5641C235" w14:textId="5880A4D5" w:rsidR="001D63A1" w:rsidRPr="001D63A1" w:rsidRDefault="001D63A1" w:rsidP="001D63A1">
      <w:pPr>
        <w:pBdr>
          <w:top w:val="nil"/>
          <w:left w:val="nil"/>
          <w:bottom w:val="nil"/>
          <w:right w:val="nil"/>
          <w:between w:val="nil"/>
        </w:pBdr>
        <w:spacing w:before="240" w:after="0" w:line="240" w:lineRule="auto"/>
        <w:jc w:val="both"/>
        <w:rPr>
          <w:rFonts w:eastAsia="Calibri" w:cstheme="minorHAnsi"/>
        </w:rPr>
      </w:pPr>
      <w:r w:rsidRPr="001D63A1">
        <w:rPr>
          <w:rFonts w:eastAsia="Calibri" w:cstheme="minorHAnsi"/>
        </w:rPr>
        <w:t>Se trata de un importe estimado, ya que la cuantía total no puede establecerse con exactitud al estar subordinadas las entregas a las necesidades reales del suministro. El sistema de determinación de p</w:t>
      </w:r>
      <w:r>
        <w:rPr>
          <w:rFonts w:eastAsia="Calibri" w:cstheme="minorHAnsi"/>
        </w:rPr>
        <w:t>recio es por precios unitarios.</w:t>
      </w:r>
    </w:p>
    <w:p w14:paraId="46B858DB" w14:textId="4617EEBE" w:rsidR="001D63A1" w:rsidRDefault="001D63A1" w:rsidP="001D63A1">
      <w:pPr>
        <w:pBdr>
          <w:top w:val="nil"/>
          <w:left w:val="nil"/>
          <w:bottom w:val="nil"/>
          <w:right w:val="nil"/>
          <w:between w:val="nil"/>
        </w:pBdr>
        <w:spacing w:before="240" w:after="0" w:line="240" w:lineRule="auto"/>
        <w:jc w:val="both"/>
        <w:rPr>
          <w:rFonts w:eastAsia="Calibri" w:cstheme="minorHAnsi"/>
        </w:rPr>
      </w:pPr>
      <w:r w:rsidRPr="001D63A1">
        <w:rPr>
          <w:rFonts w:eastAsia="Calibri" w:cstheme="minorHAnsi"/>
        </w:rPr>
        <w:t>Para el cálculo del importe del contrato, se han tenido en cuenta los precios ofertados por proveedores del sector y el análisis del mercado obtenido por la revisión de diferentes adjudicaciones en concursos de similares características.</w:t>
      </w:r>
    </w:p>
    <w:p w14:paraId="1F2EDB99" w14:textId="77777777" w:rsidR="00BA7D4F" w:rsidRPr="001D63A1" w:rsidRDefault="00BA7D4F" w:rsidP="001D63A1">
      <w:pPr>
        <w:pBdr>
          <w:top w:val="nil"/>
          <w:left w:val="nil"/>
          <w:bottom w:val="nil"/>
          <w:right w:val="nil"/>
          <w:between w:val="nil"/>
        </w:pBdr>
        <w:spacing w:before="240" w:after="0" w:line="240" w:lineRule="auto"/>
        <w:jc w:val="both"/>
        <w:rPr>
          <w:rFonts w:eastAsia="Calibri" w:cstheme="minorHAnsi"/>
        </w:rPr>
      </w:pPr>
    </w:p>
    <w:p w14:paraId="110924D0" w14:textId="0794BFC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8.- PROCEDIMIENTO, FORMA DE ADJUDICACIÓN Y CRITERIOS DE ADJUDICACIÓN </w:t>
      </w:r>
    </w:p>
    <w:p w14:paraId="26D5F2AA"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A los efectos previstos en el art. 116. 4 de la LCSP, el contrato proyectado se trata de un contrato de suministro y su adjudicación se realizará por procedimiento abierto simplificado, al ser el procedimiento de elección previsto en la LCSP, en el que todo empresario interesado podrá presentar una proposición, queda excluida toda negociación de los términos del contrato. </w:t>
      </w:r>
    </w:p>
    <w:p w14:paraId="78CB38F3"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conseguir una adjudicación basada en la mejor calidad/precio desde el punto de vista técnico, alejándose la selección basada únicamente en precio. </w:t>
      </w:r>
    </w:p>
    <w:p w14:paraId="2754B046"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lastRenderedPageBreak/>
        <w:t xml:space="preserve">Cada uno de los criterios cualitativos seleccionados, están relacionados con el objeto del contrato y se han formulado teniendo en cuenta que el contrato proyectado es susceptible de ser mejorado por la aportación de prestaciones complementarias, fijando unos criterios objetivos que mejoran la calidad. </w:t>
      </w:r>
    </w:p>
    <w:p w14:paraId="76FB39C7" w14:textId="6DAB93A8" w:rsidR="00FC0B58" w:rsidRPr="00C62B84" w:rsidRDefault="00FC0B58" w:rsidP="00BA7D4F">
      <w:pPr>
        <w:pBdr>
          <w:top w:val="nil"/>
          <w:left w:val="nil"/>
          <w:bottom w:val="nil"/>
          <w:right w:val="nil"/>
          <w:between w:val="nil"/>
        </w:pBdr>
        <w:spacing w:before="120" w:after="120" w:line="240" w:lineRule="auto"/>
        <w:jc w:val="both"/>
        <w:rPr>
          <w:rFonts w:eastAsia="Calibri" w:cstheme="minorHAnsi"/>
        </w:rPr>
      </w:pPr>
      <w:r w:rsidRPr="00C62B84">
        <w:rPr>
          <w:rFonts w:eastAsia="Calibri" w:cstheme="minorHAnsi"/>
        </w:rPr>
        <w:t xml:space="preserve">Para la valoración de las proposiciones y la determinación de la oferta más ventajosa, se atenderá a una pluralidad de criterios en base a la mejor calidad precio, con arreglo a criterios cualitativos y económicos de acuerdo con lo dispuesto en el art. 145 de la LCSP. Con ello se pretende asegurar la máxima objetividad en la valoración al referirse a características que mejoren las prestaciones del contrato y que pueden valorarse mediante cifras o porcentajes. </w:t>
      </w:r>
    </w:p>
    <w:p w14:paraId="61E718F7" w14:textId="7A986037" w:rsidR="00BA7D4F" w:rsidRPr="002B4EEB" w:rsidRDefault="00FC0B58" w:rsidP="00BA7D4F">
      <w:pPr>
        <w:pBdr>
          <w:top w:val="nil"/>
          <w:left w:val="nil"/>
          <w:bottom w:val="nil"/>
          <w:right w:val="nil"/>
          <w:between w:val="nil"/>
        </w:pBdr>
        <w:spacing w:before="120" w:after="120" w:line="240" w:lineRule="auto"/>
        <w:jc w:val="both"/>
        <w:rPr>
          <w:rFonts w:eastAsia="Calibri" w:cstheme="minorHAnsi"/>
        </w:rPr>
      </w:pPr>
      <w:r w:rsidRPr="002B4EEB">
        <w:rPr>
          <w:rFonts w:eastAsia="Calibri" w:cstheme="minorHAnsi"/>
        </w:rPr>
        <w:t>En consecuencia, los criterios para valorar son:</w:t>
      </w:r>
    </w:p>
    <w:p w14:paraId="702830C3" w14:textId="77777777" w:rsidR="002B4EEB" w:rsidRPr="00BA7D4F" w:rsidRDefault="002B4EEB" w:rsidP="00BA7D4F">
      <w:pPr>
        <w:pStyle w:val="Prrafodelista"/>
        <w:widowControl w:val="0"/>
        <w:numPr>
          <w:ilvl w:val="0"/>
          <w:numId w:val="5"/>
        </w:numPr>
        <w:suppressAutoHyphens/>
        <w:autoSpaceDE w:val="0"/>
        <w:autoSpaceDN w:val="0"/>
        <w:adjustRightInd w:val="0"/>
        <w:spacing w:before="120" w:after="120"/>
        <w:rPr>
          <w:rFonts w:cstheme="minorHAnsi"/>
          <w:b/>
          <w:bCs/>
          <w:spacing w:val="-3"/>
        </w:rPr>
      </w:pPr>
      <w:r w:rsidRPr="00BA7D4F">
        <w:rPr>
          <w:rFonts w:cstheme="minorHAnsi"/>
          <w:b/>
          <w:bCs/>
          <w:spacing w:val="-3"/>
        </w:rPr>
        <w:t xml:space="preserve">Criterio/s relacionado/s con los costes: </w:t>
      </w:r>
      <w:r w:rsidRPr="002B4EEB">
        <w:rPr>
          <w:rStyle w:val="Refdenotaalpie"/>
          <w:rFonts w:cstheme="minorHAnsi"/>
          <w:b/>
          <w:bCs/>
          <w:spacing w:val="-3"/>
        </w:rPr>
        <w:footnoteReference w:id="1"/>
      </w:r>
      <w:r w:rsidRPr="00BA7D4F">
        <w:rPr>
          <w:rFonts w:cstheme="minorHAnsi"/>
          <w:b/>
          <w:bCs/>
          <w:spacing w:val="-3"/>
        </w:rPr>
        <w:t xml:space="preserve"> Oferta económica (70 puntos)</w:t>
      </w:r>
    </w:p>
    <w:p w14:paraId="7EAA2797" w14:textId="40200E1E" w:rsidR="002B4EEB" w:rsidRPr="00BA7D4F" w:rsidRDefault="00BA7D4F" w:rsidP="00BA7D4F">
      <w:pPr>
        <w:widowControl w:val="0"/>
        <w:suppressAutoHyphens/>
        <w:autoSpaceDE w:val="0"/>
        <w:autoSpaceDN w:val="0"/>
        <w:adjustRightInd w:val="0"/>
        <w:rPr>
          <w:rFonts w:cstheme="minorHAnsi"/>
          <w:spacing w:val="-3"/>
        </w:rPr>
      </w:pPr>
      <w:r w:rsidRPr="00BA7D4F">
        <w:rPr>
          <w:rFonts w:cstheme="minorHAnsi"/>
          <w:spacing w:val="-3"/>
        </w:rPr>
        <w:t xml:space="preserve">Se puntuará con 70 puntos la oferta económica más baja y con 0 puntos la oferta que coincida con el precio unitario máximo. </w:t>
      </w:r>
    </w:p>
    <w:p w14:paraId="53D7E15A" w14:textId="7824B35B" w:rsidR="00BA7D4F" w:rsidRPr="00BA7D4F" w:rsidRDefault="002B4EEB" w:rsidP="00BA7D4F">
      <w:pPr>
        <w:pStyle w:val="Prrafodelista"/>
        <w:widowControl w:val="0"/>
        <w:numPr>
          <w:ilvl w:val="0"/>
          <w:numId w:val="5"/>
        </w:numPr>
        <w:suppressAutoHyphens/>
        <w:autoSpaceDE w:val="0"/>
        <w:autoSpaceDN w:val="0"/>
        <w:adjustRightInd w:val="0"/>
        <w:rPr>
          <w:rFonts w:cstheme="minorHAnsi"/>
          <w:b/>
          <w:bCs/>
          <w:spacing w:val="-3"/>
        </w:rPr>
      </w:pPr>
      <w:r w:rsidRPr="00BA7D4F">
        <w:rPr>
          <w:rFonts w:cstheme="minorHAnsi"/>
          <w:b/>
          <w:bCs/>
          <w:spacing w:val="-3"/>
        </w:rPr>
        <w:t>Criterio relativo a la formación del personal (30 puntos)</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103"/>
      </w:tblGrid>
      <w:tr w:rsidR="00BA7D4F" w:rsidRPr="0054232D" w14:paraId="66CB84E6" w14:textId="77777777" w:rsidTr="00BA7D4F">
        <w:trPr>
          <w:jc w:val="center"/>
        </w:trPr>
        <w:tc>
          <w:tcPr>
            <w:tcW w:w="3823" w:type="dxa"/>
            <w:shd w:val="clear" w:color="auto" w:fill="BFBFBF"/>
            <w:vAlign w:val="center"/>
          </w:tcPr>
          <w:p w14:paraId="1BED224C" w14:textId="77777777" w:rsidR="00BA7D4F" w:rsidRPr="0054232D" w:rsidRDefault="00BA7D4F" w:rsidP="00E40C84">
            <w:pPr>
              <w:widowControl w:val="0"/>
              <w:suppressAutoHyphens/>
              <w:autoSpaceDE w:val="0"/>
              <w:autoSpaceDN w:val="0"/>
              <w:adjustRightInd w:val="0"/>
              <w:jc w:val="center"/>
              <w:rPr>
                <w:b/>
                <w:bCs/>
                <w:spacing w:val="-3"/>
              </w:rPr>
            </w:pPr>
            <w:r w:rsidRPr="0054232D">
              <w:rPr>
                <w:b/>
                <w:bCs/>
                <w:spacing w:val="-3"/>
              </w:rPr>
              <w:t>Criterio</w:t>
            </w:r>
          </w:p>
        </w:tc>
        <w:tc>
          <w:tcPr>
            <w:tcW w:w="5103" w:type="dxa"/>
            <w:shd w:val="clear" w:color="auto" w:fill="BFBFBF"/>
            <w:vAlign w:val="center"/>
          </w:tcPr>
          <w:p w14:paraId="734986F6" w14:textId="77777777" w:rsidR="00BA7D4F" w:rsidRPr="0054232D" w:rsidRDefault="00BA7D4F" w:rsidP="00E40C84">
            <w:pPr>
              <w:widowControl w:val="0"/>
              <w:suppressAutoHyphens/>
              <w:autoSpaceDE w:val="0"/>
              <w:autoSpaceDN w:val="0"/>
              <w:adjustRightInd w:val="0"/>
              <w:jc w:val="center"/>
              <w:rPr>
                <w:b/>
                <w:bCs/>
                <w:spacing w:val="-3"/>
              </w:rPr>
            </w:pPr>
            <w:r w:rsidRPr="0054232D">
              <w:rPr>
                <w:b/>
                <w:bCs/>
                <w:spacing w:val="-3"/>
              </w:rPr>
              <w:t>Puntuación</w:t>
            </w:r>
          </w:p>
        </w:tc>
      </w:tr>
      <w:tr w:rsidR="00BA7D4F" w:rsidRPr="0054232D" w14:paraId="2CA684F5" w14:textId="77777777" w:rsidTr="00BA7D4F">
        <w:trPr>
          <w:trHeight w:val="1266"/>
          <w:jc w:val="center"/>
        </w:trPr>
        <w:tc>
          <w:tcPr>
            <w:tcW w:w="3823" w:type="dxa"/>
            <w:shd w:val="clear" w:color="auto" w:fill="auto"/>
            <w:vAlign w:val="center"/>
          </w:tcPr>
          <w:p w14:paraId="28B65D5F" w14:textId="3431A4FF" w:rsidR="00BA7D4F" w:rsidRPr="0054232D" w:rsidRDefault="00BA7D4F" w:rsidP="00E40C84">
            <w:pPr>
              <w:widowControl w:val="0"/>
              <w:suppressAutoHyphens/>
              <w:autoSpaceDE w:val="0"/>
              <w:autoSpaceDN w:val="0"/>
              <w:adjustRightInd w:val="0"/>
              <w:rPr>
                <w:spacing w:val="-3"/>
              </w:rPr>
            </w:pPr>
            <w:r w:rsidRPr="0054232D">
              <w:rPr>
                <w:spacing w:val="-3"/>
              </w:rPr>
              <w:t xml:space="preserve">Horas </w:t>
            </w:r>
            <w:r>
              <w:rPr>
                <w:spacing w:val="-3"/>
              </w:rPr>
              <w:t xml:space="preserve">adicionales </w:t>
            </w:r>
            <w:r>
              <w:rPr>
                <w:spacing w:val="-3"/>
              </w:rPr>
              <w:t>de fo</w:t>
            </w:r>
            <w:r w:rsidRPr="0054232D">
              <w:rPr>
                <w:spacing w:val="-3"/>
              </w:rPr>
              <w:t xml:space="preserve">rmación al personal del Laboratorio del Servicio de Oncología Médica del Hospital Universitario Puerta de Hierro </w:t>
            </w:r>
            <w:r>
              <w:rPr>
                <w:spacing w:val="-3"/>
              </w:rPr>
              <w:t xml:space="preserve">(hasta 30 puntos). </w:t>
            </w:r>
          </w:p>
        </w:tc>
        <w:tc>
          <w:tcPr>
            <w:tcW w:w="5103" w:type="dxa"/>
            <w:shd w:val="clear" w:color="auto" w:fill="auto"/>
            <w:vAlign w:val="center"/>
          </w:tcPr>
          <w:p w14:paraId="56DD84EA"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9 horas – 2,5 puntos</w:t>
            </w:r>
            <w:r>
              <w:rPr>
                <w:spacing w:val="-3"/>
              </w:rPr>
              <w:t xml:space="preserve"> </w:t>
            </w:r>
          </w:p>
          <w:p w14:paraId="758BF72F" w14:textId="0B6C5AA1" w:rsidR="00BA7D4F" w:rsidRDefault="00BA7D4F" w:rsidP="00BA7D4F">
            <w:pPr>
              <w:widowControl w:val="0"/>
              <w:suppressAutoHyphens/>
              <w:autoSpaceDE w:val="0"/>
              <w:autoSpaceDN w:val="0"/>
              <w:adjustRightInd w:val="0"/>
              <w:spacing w:line="240" w:lineRule="auto"/>
              <w:jc w:val="center"/>
              <w:rPr>
                <w:spacing w:val="-3"/>
              </w:rPr>
            </w:pPr>
            <w:r>
              <w:rPr>
                <w:spacing w:val="-3"/>
              </w:rPr>
              <w:t>10 horas – 5 puntos</w:t>
            </w:r>
          </w:p>
          <w:p w14:paraId="1596BF89"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11 horas – 7,5 puntos</w:t>
            </w:r>
          </w:p>
          <w:p w14:paraId="533EAF2E"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12 horas – 10 puntos</w:t>
            </w:r>
          </w:p>
          <w:p w14:paraId="26D34B55"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13 horas – 12,5 puntos</w:t>
            </w:r>
          </w:p>
          <w:p w14:paraId="12FDCAA2"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14 horas – 15 puntos</w:t>
            </w:r>
          </w:p>
          <w:p w14:paraId="2D5358A8"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15 horas – 17,5 puntos</w:t>
            </w:r>
          </w:p>
          <w:p w14:paraId="717CFA86"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16 horas – 20 puntos</w:t>
            </w:r>
          </w:p>
          <w:p w14:paraId="62A3CA2F"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17 horas – 22,5 puntos</w:t>
            </w:r>
          </w:p>
          <w:p w14:paraId="40904F4E"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18 horas – 25 puntos</w:t>
            </w:r>
          </w:p>
          <w:p w14:paraId="7B3F4231" w14:textId="77777777" w:rsidR="00BA7D4F" w:rsidRDefault="00BA7D4F" w:rsidP="00BA7D4F">
            <w:pPr>
              <w:widowControl w:val="0"/>
              <w:suppressAutoHyphens/>
              <w:autoSpaceDE w:val="0"/>
              <w:autoSpaceDN w:val="0"/>
              <w:adjustRightInd w:val="0"/>
              <w:spacing w:line="240" w:lineRule="auto"/>
              <w:jc w:val="center"/>
              <w:rPr>
                <w:spacing w:val="-3"/>
              </w:rPr>
            </w:pPr>
            <w:r>
              <w:rPr>
                <w:spacing w:val="-3"/>
              </w:rPr>
              <w:t>19 horas – 27,5 puntos</w:t>
            </w:r>
          </w:p>
          <w:p w14:paraId="44DB505B" w14:textId="77777777" w:rsidR="00BA7D4F" w:rsidRPr="0054232D" w:rsidRDefault="00BA7D4F" w:rsidP="00BA7D4F">
            <w:pPr>
              <w:widowControl w:val="0"/>
              <w:suppressAutoHyphens/>
              <w:autoSpaceDE w:val="0"/>
              <w:autoSpaceDN w:val="0"/>
              <w:adjustRightInd w:val="0"/>
              <w:spacing w:line="240" w:lineRule="auto"/>
              <w:jc w:val="center"/>
              <w:rPr>
                <w:spacing w:val="-3"/>
              </w:rPr>
            </w:pPr>
            <w:r>
              <w:rPr>
                <w:spacing w:val="-3"/>
              </w:rPr>
              <w:t>20 horas – 30 puntos</w:t>
            </w:r>
          </w:p>
        </w:tc>
      </w:tr>
    </w:tbl>
    <w:p w14:paraId="423049B3" w14:textId="77777777" w:rsidR="00BA7D4F" w:rsidRDefault="00BA7D4F" w:rsidP="00BA7D4F">
      <w:pPr>
        <w:widowControl w:val="0"/>
        <w:suppressAutoHyphens/>
        <w:autoSpaceDE w:val="0"/>
        <w:autoSpaceDN w:val="0"/>
        <w:adjustRightInd w:val="0"/>
        <w:rPr>
          <w:b/>
          <w:bCs/>
          <w:spacing w:val="-3"/>
        </w:rPr>
      </w:pPr>
    </w:p>
    <w:p w14:paraId="2025E896" w14:textId="6D21BBD8" w:rsidR="005441FA" w:rsidRPr="00BA7D4F" w:rsidRDefault="00BA7D4F" w:rsidP="00BA7D4F">
      <w:pPr>
        <w:widowControl w:val="0"/>
        <w:suppressAutoHyphens/>
        <w:autoSpaceDE w:val="0"/>
        <w:autoSpaceDN w:val="0"/>
        <w:adjustRightInd w:val="0"/>
        <w:rPr>
          <w:spacing w:val="-3"/>
        </w:rPr>
      </w:pPr>
      <w:r w:rsidRPr="008D1E66">
        <w:rPr>
          <w:spacing w:val="-3"/>
        </w:rPr>
        <w:t xml:space="preserve">Se otorgarán un máximo de 30 puntos al licitador que imparta formación adicional por encima del mínimo exigido </w:t>
      </w:r>
      <w:r>
        <w:rPr>
          <w:spacing w:val="-3"/>
        </w:rPr>
        <w:t xml:space="preserve">(8 horas) </w:t>
      </w:r>
      <w:r w:rsidRPr="008D1E66">
        <w:rPr>
          <w:spacing w:val="-3"/>
        </w:rPr>
        <w:t xml:space="preserve">al personal del Laboratorio del Servicio de Oncología Médica del Hospital </w:t>
      </w:r>
      <w:r w:rsidRPr="008D1E66">
        <w:rPr>
          <w:spacing w:val="-3"/>
        </w:rPr>
        <w:lastRenderedPageBreak/>
        <w:t>Universitario Puerta de</w:t>
      </w:r>
      <w:r>
        <w:rPr>
          <w:spacing w:val="-3"/>
        </w:rPr>
        <w:t xml:space="preserve"> Hierro</w:t>
      </w:r>
      <w:r w:rsidRPr="008D1E66">
        <w:rPr>
          <w:spacing w:val="-3"/>
        </w:rPr>
        <w:t xml:space="preserve">. </w:t>
      </w:r>
      <w:r w:rsidR="000D2CD4">
        <w:rPr>
          <w:spacing w:val="-3"/>
        </w:rPr>
        <w:t xml:space="preserve"> </w:t>
      </w:r>
    </w:p>
    <w:p w14:paraId="3D3E8E0D" w14:textId="3F9DB49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 CRITERIOS DE SELECCIÓN: ACREDITACIÓN DE LA SOLVENCIA</w:t>
      </w:r>
    </w:p>
    <w:p w14:paraId="23DC4D36"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valorar la solvencia, las empresas participantes deberán acreditar estar en posesión de unas condiciones mínimas de solvencia económica y financiera y profesional de acuerdo con los criterios de selección que, al amparo de los artículos 74, 87 y 89 de la LCSP, se indican a continuación.</w:t>
      </w:r>
    </w:p>
    <w:p w14:paraId="558AC4D7"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No podrán concurrir a la licitación aquellas empresas que hubieren participado en la elaboración de las especificaciones técnicas a que se refiere la presente licitación, siempre que dicha participación pueda provocar restricciones a la libre concurrencia o suponer un trato privilegiado con respecto al resto de las empresas licitadoras. (Artículo 70 de la LCSP).</w:t>
      </w:r>
    </w:p>
    <w:p w14:paraId="58744AD3"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07365EA1" w14:textId="72EBBB10"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9.1.- SOLVENCIA ECONÓMICA Y FINANCIERA</w:t>
      </w:r>
    </w:p>
    <w:p w14:paraId="2B3CE714" w14:textId="741F22A7"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Artículo 87 de la LCSP, apartado/s: 1.a)</w:t>
      </w:r>
      <w:r w:rsidR="00547024">
        <w:rPr>
          <w:rFonts w:eastAsia="Calibri" w:cstheme="minorHAnsi"/>
        </w:rPr>
        <w:t xml:space="preserve">. </w:t>
      </w:r>
      <w:r w:rsidRPr="00846377">
        <w:rPr>
          <w:rFonts w:eastAsia="Calibri" w:cstheme="minorHAnsi"/>
        </w:rPr>
        <w:t>Criterios de selección:</w:t>
      </w:r>
    </w:p>
    <w:p w14:paraId="4237A2BC" w14:textId="77777777" w:rsidR="00BA7D4F" w:rsidRDefault="00BA7D4F" w:rsidP="00BA7D4F">
      <w:pPr>
        <w:autoSpaceDE w:val="0"/>
        <w:autoSpaceDN w:val="0"/>
        <w:adjustRightInd w:val="0"/>
        <w:spacing w:after="0" w:line="240" w:lineRule="auto"/>
        <w:jc w:val="both"/>
        <w:rPr>
          <w:rFonts w:eastAsia="Calibri" w:cstheme="minorHAnsi"/>
        </w:rPr>
      </w:pPr>
    </w:p>
    <w:p w14:paraId="69154608" w14:textId="6595E323" w:rsidR="00BA7D4F" w:rsidRPr="00BA7D4F" w:rsidRDefault="00BA7D4F" w:rsidP="00BA7D4F">
      <w:pPr>
        <w:autoSpaceDE w:val="0"/>
        <w:autoSpaceDN w:val="0"/>
        <w:adjustRightInd w:val="0"/>
        <w:spacing w:after="0" w:line="240" w:lineRule="auto"/>
        <w:jc w:val="both"/>
        <w:rPr>
          <w:rFonts w:eastAsia="Calibri" w:cstheme="minorHAnsi"/>
        </w:rPr>
      </w:pPr>
      <w:r w:rsidRPr="00BA7D4F">
        <w:rPr>
          <w:rFonts w:eastAsia="Calibri" w:cstheme="minorHAnsi"/>
        </w:rPr>
        <w:t>Volumen anual de negocios del licitador o candidato, que referido al año de mayor volumen de negocio de los tres últimos años concluidos (2021, 2022 y 2023) sea de al menos una vez y media el valor estimado del contrato cuando su duración no sea superior a un año, y al menos una vez y media el valor anual medio del contrato si su duración es superior a un año, es decir, en este caso: 168.478,20 euros, IVA no incluido.</w:t>
      </w:r>
    </w:p>
    <w:p w14:paraId="702C8FB9" w14:textId="77777777" w:rsidR="00BA7D4F" w:rsidRPr="00BA7D4F" w:rsidRDefault="00BA7D4F" w:rsidP="00BA7D4F">
      <w:pPr>
        <w:autoSpaceDE w:val="0"/>
        <w:autoSpaceDN w:val="0"/>
        <w:adjustRightInd w:val="0"/>
        <w:spacing w:after="0" w:line="240" w:lineRule="auto"/>
        <w:jc w:val="both"/>
        <w:rPr>
          <w:rFonts w:eastAsia="Calibri" w:cstheme="minorHAnsi"/>
        </w:rPr>
      </w:pPr>
    </w:p>
    <w:p w14:paraId="78929ED8" w14:textId="77777777" w:rsidR="00BA7D4F" w:rsidRPr="00BA7D4F" w:rsidRDefault="00BA7D4F" w:rsidP="00BA7D4F">
      <w:pPr>
        <w:autoSpaceDE w:val="0"/>
        <w:autoSpaceDN w:val="0"/>
        <w:adjustRightInd w:val="0"/>
        <w:spacing w:after="0" w:line="240" w:lineRule="auto"/>
        <w:jc w:val="both"/>
        <w:rPr>
          <w:rFonts w:eastAsia="Calibri" w:cstheme="minorHAnsi"/>
        </w:rPr>
      </w:pPr>
      <w:r w:rsidRPr="00BA7D4F">
        <w:rPr>
          <w:rFonts w:eastAsia="Calibri" w:cstheme="minorHAnsi"/>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2BE4C160" w14:textId="77777777" w:rsidR="00BA7D4F" w:rsidRPr="00BA7D4F" w:rsidRDefault="00BA7D4F" w:rsidP="00BA7D4F">
      <w:pPr>
        <w:autoSpaceDE w:val="0"/>
        <w:autoSpaceDN w:val="0"/>
        <w:adjustRightInd w:val="0"/>
        <w:spacing w:after="0" w:line="240" w:lineRule="auto"/>
        <w:jc w:val="both"/>
        <w:rPr>
          <w:rFonts w:eastAsia="Calibri" w:cstheme="minorHAnsi"/>
        </w:rPr>
      </w:pPr>
    </w:p>
    <w:p w14:paraId="01DB51ED" w14:textId="77777777" w:rsidR="00BA7D4F" w:rsidRPr="00BA7D4F" w:rsidRDefault="00BA7D4F" w:rsidP="00BA7D4F">
      <w:pPr>
        <w:autoSpaceDE w:val="0"/>
        <w:autoSpaceDN w:val="0"/>
        <w:adjustRightInd w:val="0"/>
        <w:spacing w:after="0" w:line="240" w:lineRule="auto"/>
        <w:jc w:val="both"/>
        <w:rPr>
          <w:rFonts w:eastAsia="Calibri" w:cstheme="minorHAnsi"/>
        </w:rPr>
      </w:pPr>
      <w:r w:rsidRPr="00BA7D4F">
        <w:rPr>
          <w:rFonts w:eastAsia="Calibri" w:cstheme="minorHAnsi"/>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55E2A09A" w14:textId="77777777" w:rsidR="00BA7D4F" w:rsidRPr="00BA7D4F" w:rsidRDefault="00BA7D4F" w:rsidP="00BA7D4F">
      <w:pPr>
        <w:autoSpaceDE w:val="0"/>
        <w:autoSpaceDN w:val="0"/>
        <w:adjustRightInd w:val="0"/>
        <w:spacing w:after="0" w:line="240" w:lineRule="auto"/>
        <w:jc w:val="both"/>
        <w:rPr>
          <w:rFonts w:eastAsia="Calibri" w:cstheme="minorHAnsi"/>
        </w:rPr>
      </w:pPr>
    </w:p>
    <w:p w14:paraId="25DC475A" w14:textId="6B6AEB26" w:rsidR="0067653C" w:rsidRDefault="00BA7D4F" w:rsidP="00BA7D4F">
      <w:pPr>
        <w:autoSpaceDE w:val="0"/>
        <w:autoSpaceDN w:val="0"/>
        <w:adjustRightInd w:val="0"/>
        <w:spacing w:after="0" w:line="240" w:lineRule="auto"/>
        <w:jc w:val="both"/>
        <w:rPr>
          <w:rFonts w:eastAsia="Calibri" w:cstheme="minorHAnsi"/>
        </w:rPr>
      </w:pPr>
      <w:r w:rsidRPr="00BA7D4F">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7FCBFD5F" w14:textId="77777777" w:rsidR="00BA7D4F" w:rsidRDefault="00BA7D4F" w:rsidP="00BA7D4F">
      <w:pPr>
        <w:autoSpaceDE w:val="0"/>
        <w:autoSpaceDN w:val="0"/>
        <w:adjustRightInd w:val="0"/>
        <w:spacing w:after="0" w:line="240" w:lineRule="auto"/>
        <w:jc w:val="both"/>
        <w:rPr>
          <w:rFonts w:eastAsia="Calibri" w:cstheme="minorHAnsi"/>
          <w:b/>
          <w:bCs/>
          <w:smallCaps/>
          <w:color w:val="5B9BD5"/>
          <w:spacing w:val="5"/>
        </w:rPr>
      </w:pPr>
    </w:p>
    <w:p w14:paraId="557FC480" w14:textId="62E5D2F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9.2.- SOLVENCIA TÉCNICA O PROFESIONAL</w:t>
      </w:r>
    </w:p>
    <w:p w14:paraId="6987F507" w14:textId="4247E66B"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Art</w:t>
      </w:r>
      <w:r w:rsidR="00547024">
        <w:rPr>
          <w:rFonts w:eastAsia="Calibri" w:cstheme="minorHAnsi"/>
        </w:rPr>
        <w:t xml:space="preserve">ículo 89 de la LCSP, apartado/s. </w:t>
      </w:r>
      <w:r w:rsidRPr="00E66654">
        <w:rPr>
          <w:rFonts w:eastAsia="Calibri" w:cstheme="minorHAnsi"/>
        </w:rPr>
        <w:t>Criterios de selección:</w:t>
      </w:r>
    </w:p>
    <w:p w14:paraId="42E773B5" w14:textId="79100CF2" w:rsidR="00547024" w:rsidRPr="00547024" w:rsidRDefault="00547024" w:rsidP="00547024">
      <w:pPr>
        <w:pBdr>
          <w:top w:val="nil"/>
          <w:left w:val="nil"/>
          <w:bottom w:val="nil"/>
          <w:right w:val="nil"/>
          <w:between w:val="nil"/>
        </w:pBdr>
        <w:spacing w:before="240" w:after="0" w:line="240" w:lineRule="auto"/>
        <w:jc w:val="both"/>
        <w:rPr>
          <w:rFonts w:eastAsia="Calibri" w:cstheme="minorHAnsi"/>
        </w:rPr>
      </w:pPr>
      <w:r w:rsidRPr="00547024">
        <w:rPr>
          <w:rFonts w:eastAsia="Calibri" w:cstheme="minorHAnsi"/>
        </w:rPr>
        <w:t xml:space="preserve">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w:t>
      </w:r>
      <w:r w:rsidRPr="00547024">
        <w:rPr>
          <w:rFonts w:eastAsia="Calibri" w:cstheme="minorHAnsi"/>
        </w:rPr>
        <w:lastRenderedPageBreak/>
        <w:t>que el importe anual acumulado en el año de mayor ejecución sea igual o superior al 70 por ciento del valor anual medio del contrat</w:t>
      </w:r>
      <w:r>
        <w:rPr>
          <w:rFonts w:eastAsia="Calibri" w:cstheme="minorHAnsi"/>
        </w:rPr>
        <w:t xml:space="preserve">o, es decir, 78.623,16 euros. </w:t>
      </w:r>
      <w:r>
        <w:rPr>
          <w:rFonts w:eastAsia="Calibri" w:cstheme="minorHAnsi"/>
        </w:rPr>
        <w:tab/>
      </w:r>
    </w:p>
    <w:p w14:paraId="1AE0A8AC" w14:textId="22FDD941" w:rsidR="00547024" w:rsidRPr="00547024" w:rsidRDefault="00547024" w:rsidP="00547024">
      <w:pPr>
        <w:pBdr>
          <w:top w:val="nil"/>
          <w:left w:val="nil"/>
          <w:bottom w:val="nil"/>
          <w:right w:val="nil"/>
          <w:between w:val="nil"/>
        </w:pBdr>
        <w:spacing w:before="240" w:after="0" w:line="240" w:lineRule="auto"/>
        <w:jc w:val="both"/>
        <w:rPr>
          <w:rFonts w:eastAsia="Calibri" w:cstheme="minorHAnsi"/>
        </w:rPr>
      </w:pPr>
      <w:r w:rsidRPr="00547024">
        <w:rPr>
          <w:rFonts w:eastAsia="Calibri" w:cstheme="minorHAnsi"/>
        </w:rPr>
        <w:t>A efectos de determinar que los suministros efectuados sean de igual o similar naturaleza, habrá de atenderse a los tres primeros dígitos del código CP</w:t>
      </w:r>
      <w:r>
        <w:rPr>
          <w:rFonts w:eastAsia="Calibri" w:cstheme="minorHAnsi"/>
        </w:rPr>
        <w:t>V establecido en el apartado 1.</w:t>
      </w:r>
    </w:p>
    <w:p w14:paraId="37B3858F" w14:textId="77777777" w:rsidR="00547024" w:rsidRPr="00547024" w:rsidRDefault="00547024" w:rsidP="00547024">
      <w:pPr>
        <w:pBdr>
          <w:top w:val="nil"/>
          <w:left w:val="nil"/>
          <w:bottom w:val="nil"/>
          <w:right w:val="nil"/>
          <w:between w:val="nil"/>
        </w:pBdr>
        <w:spacing w:before="240" w:after="0" w:line="240" w:lineRule="auto"/>
        <w:jc w:val="both"/>
        <w:rPr>
          <w:rFonts w:eastAsia="Calibri" w:cstheme="minorHAnsi"/>
        </w:rPr>
      </w:pPr>
      <w:r w:rsidRPr="00547024">
        <w:rPr>
          <w:rFonts w:eastAsia="Calibri" w:cstheme="minorHAnsi"/>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6E47FF36" w14:textId="15B1B648" w:rsidR="00547024" w:rsidRPr="00547024" w:rsidRDefault="00547024" w:rsidP="00547024">
      <w:pPr>
        <w:pBdr>
          <w:top w:val="nil"/>
          <w:left w:val="nil"/>
          <w:bottom w:val="nil"/>
          <w:right w:val="nil"/>
          <w:between w:val="nil"/>
        </w:pBdr>
        <w:spacing w:before="240" w:after="0" w:line="240" w:lineRule="auto"/>
        <w:jc w:val="both"/>
        <w:rPr>
          <w:rFonts w:eastAsia="Calibri" w:cstheme="minorHAnsi"/>
        </w:rPr>
      </w:pPr>
      <w:r w:rsidRPr="00547024">
        <w:rPr>
          <w:rFonts w:eastAsia="Calibri" w:cstheme="minorHAnsi"/>
        </w:rPr>
        <w:t>El licitador deberá aportar, además de lo anterior, certificados de buena ejecución expedidos o visados por el órgano competente de al menos tres (3) proyectos, cuando el destinatario sea una entidad del sector público o, cuando el destinatario sea un sujeto privado, mediante certificados de buena ejecución expedidos por éste de al menos tres (3) proyectos o, a falta de estos certificados, mediante una declaración del empresario acompañada de los documentos obrantes en poder del mismo que acrediten la realización de la prestación, es decir, junto a evidencia documental que acredi</w:t>
      </w:r>
      <w:r>
        <w:rPr>
          <w:rFonts w:eastAsia="Calibri" w:cstheme="minorHAnsi"/>
        </w:rPr>
        <w:t>te la existencia de los mismos.</w:t>
      </w:r>
    </w:p>
    <w:p w14:paraId="192C81F5" w14:textId="5B16A41D" w:rsidR="00E66654" w:rsidRPr="00E66654" w:rsidRDefault="00547024" w:rsidP="00547024">
      <w:pPr>
        <w:pBdr>
          <w:top w:val="nil"/>
          <w:left w:val="nil"/>
          <w:bottom w:val="nil"/>
          <w:right w:val="nil"/>
          <w:between w:val="nil"/>
        </w:pBdr>
        <w:spacing w:before="240" w:after="0" w:line="240" w:lineRule="auto"/>
        <w:jc w:val="both"/>
        <w:rPr>
          <w:rFonts w:eastAsia="Calibri" w:cstheme="minorHAnsi"/>
        </w:rPr>
      </w:pPr>
      <w:r w:rsidRPr="00547024">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r w:rsidR="00E66654" w:rsidRPr="00E66654">
        <w:rPr>
          <w:rFonts w:eastAsia="Calibri" w:cstheme="minorHAnsi"/>
        </w:rPr>
        <w:t>.</w:t>
      </w:r>
    </w:p>
    <w:p w14:paraId="0A2428E0" w14:textId="5B824E12" w:rsidR="00FC0B58"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Se podrá requerir una muestra a los licitadores con carácter previo a la propuesta de adjudicación.</w:t>
      </w:r>
    </w:p>
    <w:p w14:paraId="72D59969"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840D9BD" w14:textId="3672F2B3"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10.- PAGO DE LOS SUMINISTROS</w:t>
      </w:r>
    </w:p>
    <w:p w14:paraId="5AEE029F"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77E77B3B"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La contraprestación se abonará contra factura presentada al Contratante. </w:t>
      </w:r>
    </w:p>
    <w:p w14:paraId="066F6EBD"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Todos los pagos se verificarán mediante transferencia bancaria, previa recepción de la factura por el contratante. </w:t>
      </w:r>
    </w:p>
    <w:p w14:paraId="7BF7F623" w14:textId="570D5EA7" w:rsidR="00FC0B58"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 Las facturas serán remitidas al siguiente correo:</w:t>
      </w:r>
      <w:r w:rsidR="00547024">
        <w:rPr>
          <w:rFonts w:eastAsia="Calibri" w:cstheme="minorHAnsi"/>
        </w:rPr>
        <w:t xml:space="preserve"> </w:t>
      </w:r>
      <w:bookmarkStart w:id="0" w:name="_GoBack"/>
      <w:bookmarkEnd w:id="0"/>
      <w:r w:rsidR="00547024">
        <w:rPr>
          <w:rFonts w:eastAsia="Calibri" w:cstheme="minorHAnsi"/>
        </w:rPr>
        <w:fldChar w:fldCharType="begin"/>
      </w:r>
      <w:r w:rsidR="00547024">
        <w:rPr>
          <w:rFonts w:eastAsia="Calibri" w:cstheme="minorHAnsi"/>
        </w:rPr>
        <w:instrText xml:space="preserve"> HYPERLINK "mailto:</w:instrText>
      </w:r>
      <w:r w:rsidR="00547024" w:rsidRPr="003D66F2">
        <w:rPr>
          <w:rFonts w:eastAsia="Calibri" w:cstheme="minorHAnsi"/>
        </w:rPr>
        <w:instrText>pliegosycontratos@idiphim.org</w:instrText>
      </w:r>
      <w:r w:rsidR="00547024">
        <w:rPr>
          <w:rFonts w:eastAsia="Calibri" w:cstheme="minorHAnsi"/>
        </w:rPr>
        <w:instrText xml:space="preserve">" </w:instrText>
      </w:r>
      <w:r w:rsidR="00547024">
        <w:rPr>
          <w:rFonts w:eastAsia="Calibri" w:cstheme="minorHAnsi"/>
        </w:rPr>
        <w:fldChar w:fldCharType="separate"/>
      </w:r>
      <w:r w:rsidR="00547024" w:rsidRPr="00AC135C">
        <w:rPr>
          <w:rStyle w:val="Hipervnculo"/>
          <w:rFonts w:eastAsia="Calibri" w:cstheme="minorHAnsi"/>
        </w:rPr>
        <w:t>pliegosycontratos@idiphim.org</w:t>
      </w:r>
      <w:r w:rsidR="00547024">
        <w:rPr>
          <w:rFonts w:eastAsia="Calibri" w:cstheme="minorHAnsi"/>
        </w:rPr>
        <w:fldChar w:fldCharType="end"/>
      </w:r>
      <w:r w:rsidR="00547024">
        <w:rPr>
          <w:rFonts w:eastAsia="Calibri" w:cstheme="minorHAnsi"/>
        </w:rPr>
        <w:t xml:space="preserve"> </w:t>
      </w:r>
      <w:r w:rsidRPr="003D66F2">
        <w:rPr>
          <w:rFonts w:eastAsia="Calibri" w:cstheme="minorHAnsi"/>
        </w:rPr>
        <w:t>debiendo incluirse en las mismas la referencia del nº del presente expediente.</w:t>
      </w:r>
    </w:p>
    <w:p w14:paraId="4C84667C"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17CB4441" w14:textId="235344D5"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11.- CONSTITUCIÓN DE GARANTÍA DEFINITIVA</w:t>
      </w:r>
    </w:p>
    <w:p w14:paraId="6C062FE0" w14:textId="56D13E6D"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De conformidad con el artículo 107.1 LCSP, los licitadores que presenten las mejores ofertas de conformidad con lo dispuesto en el artículo 145, deberán constituir a disposición del órgano de contratación una garantía definitiva de un 5% del </w:t>
      </w:r>
      <w:r>
        <w:rPr>
          <w:rFonts w:eastAsia="Calibri" w:cstheme="minorHAnsi"/>
        </w:rPr>
        <w:t>presupuesto base de licitación,</w:t>
      </w:r>
      <w:r w:rsidRPr="00C62B84">
        <w:rPr>
          <w:rFonts w:eastAsia="Calibri" w:cstheme="minorHAnsi"/>
        </w:rPr>
        <w:t xml:space="preserve"> IVA excluido.</w:t>
      </w:r>
    </w:p>
    <w:p w14:paraId="6F2E7B2A"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56CE3756" w14:textId="24190701"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12.- PLAZO DE GARANTÍA DEL SUMINISTRO</w:t>
      </w:r>
    </w:p>
    <w:p w14:paraId="19D07B07" w14:textId="77777777" w:rsidR="0067653C" w:rsidRPr="0067653C" w:rsidRDefault="0067653C" w:rsidP="0067653C">
      <w:pPr>
        <w:pBdr>
          <w:top w:val="nil"/>
          <w:left w:val="nil"/>
          <w:bottom w:val="nil"/>
          <w:right w:val="nil"/>
          <w:between w:val="nil"/>
        </w:pBdr>
        <w:spacing w:before="240" w:after="0" w:line="240" w:lineRule="auto"/>
        <w:jc w:val="both"/>
        <w:rPr>
          <w:rFonts w:eastAsia="Calibri" w:cstheme="minorHAnsi"/>
        </w:rPr>
      </w:pPr>
      <w:r w:rsidRPr="0067653C">
        <w:rPr>
          <w:rFonts w:eastAsia="Calibri" w:cstheme="minorHAnsi"/>
        </w:rPr>
        <w:t xml:space="preserve">GARANTÍA FINANCIERA: Garantía financiera de 4 meses desde la recepción del último pedido.  </w:t>
      </w:r>
    </w:p>
    <w:p w14:paraId="37AAD065" w14:textId="6E0C8831" w:rsidR="00FC0B58" w:rsidRDefault="0067653C" w:rsidP="0067653C">
      <w:pPr>
        <w:pBdr>
          <w:top w:val="nil"/>
          <w:left w:val="nil"/>
          <w:bottom w:val="nil"/>
          <w:right w:val="nil"/>
          <w:between w:val="nil"/>
        </w:pBdr>
        <w:spacing w:before="240" w:after="0" w:line="240" w:lineRule="auto"/>
        <w:jc w:val="both"/>
        <w:rPr>
          <w:rFonts w:eastAsia="Calibri" w:cstheme="minorHAnsi"/>
        </w:rPr>
      </w:pPr>
      <w:r w:rsidRPr="0067653C">
        <w:rPr>
          <w:rFonts w:eastAsia="Calibri" w:cstheme="minorHAnsi"/>
        </w:rPr>
        <w:t>GARANTÍA TÉCNICA: La garantía técnica del suministro será de 4 meses desde su recepción</w:t>
      </w:r>
    </w:p>
    <w:p w14:paraId="7561D72F"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F09723B" w14:textId="48E78839"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13.- CONDICIONES ESPECIALES DE EJECUCIÓN</w:t>
      </w:r>
    </w:p>
    <w:p w14:paraId="18701C79" w14:textId="77777777" w:rsidR="00FC0B58" w:rsidRPr="009673D4" w:rsidRDefault="00FC0B58" w:rsidP="00FC0B58">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Incorporación de cláusulas sociales, ambientales y de innovación como condiciones especiales de ejecución:</w:t>
      </w:r>
    </w:p>
    <w:p w14:paraId="20011C09" w14:textId="77777777" w:rsidR="00FC0B58" w:rsidRPr="009673D4" w:rsidRDefault="00FC0B58" w:rsidP="00FC0B58">
      <w:pPr>
        <w:pBdr>
          <w:top w:val="nil"/>
          <w:left w:val="nil"/>
          <w:bottom w:val="nil"/>
          <w:right w:val="nil"/>
          <w:between w:val="nil"/>
        </w:pBdr>
        <w:spacing w:before="240" w:after="0" w:line="240" w:lineRule="auto"/>
        <w:jc w:val="both"/>
        <w:rPr>
          <w:rFonts w:eastAsia="Calibri" w:cstheme="minorHAnsi"/>
          <w:u w:val="single"/>
        </w:rPr>
      </w:pPr>
      <w:r w:rsidRPr="009673D4">
        <w:rPr>
          <w:rFonts w:eastAsia="Calibri" w:cstheme="minorHAnsi"/>
          <w:u w:val="single"/>
        </w:rPr>
        <w:t xml:space="preserve"> X Como criterios ambientales</w:t>
      </w:r>
    </w:p>
    <w:p w14:paraId="659D4315" w14:textId="77777777" w:rsidR="00FC0B58" w:rsidRDefault="00FC0B58" w:rsidP="00FC0B58">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 xml:space="preserve">Condiciones especiales de ejecución: La empresa adjudicataria deberá promover el reciclado de aquellos productos que sean utilizados para la ejecución del contrato y hayan sido devueltos por tratarse de artículos defectuosos. A lo largo de la ejecución del contrato deberá proveer evidencia de cumplimiento de esta obligación especial.  </w:t>
      </w:r>
    </w:p>
    <w:p w14:paraId="121E0B84"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6509DDD2"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1107F297"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024DBD89"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5D237736"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POR EL ÓRGANO DE CONTRATACIÓN </w:t>
      </w:r>
    </w:p>
    <w:p w14:paraId="34A132C0"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Presidente del Patronato y de la Comisión Delegada </w:t>
      </w:r>
    </w:p>
    <w:p w14:paraId="2724CB50"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FIBH</w:t>
      </w:r>
      <w:r>
        <w:rPr>
          <w:rFonts w:eastAsia="Calibri" w:cstheme="minorHAnsi"/>
        </w:rPr>
        <w:t>UPH</w:t>
      </w:r>
    </w:p>
    <w:p w14:paraId="6D734297" w14:textId="77777777" w:rsidR="00227592" w:rsidRDefault="00227592"/>
    <w:sectPr w:rsidR="00227592" w:rsidSect="00FC0B58">
      <w:headerReference w:type="default" r:id="rId7"/>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BC1C3" w14:textId="77777777" w:rsidR="00926F7D" w:rsidRDefault="00926F7D" w:rsidP="00FC0B58">
      <w:pPr>
        <w:spacing w:after="0" w:line="240" w:lineRule="auto"/>
      </w:pPr>
      <w:r>
        <w:separator/>
      </w:r>
    </w:p>
  </w:endnote>
  <w:endnote w:type="continuationSeparator" w:id="0">
    <w:p w14:paraId="24B76E00" w14:textId="77777777" w:rsidR="00926F7D" w:rsidRDefault="00926F7D" w:rsidP="00FC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23C59" w14:textId="77777777" w:rsidR="00926F7D" w:rsidRDefault="00926F7D" w:rsidP="00FC0B58">
      <w:pPr>
        <w:spacing w:after="0" w:line="240" w:lineRule="auto"/>
      </w:pPr>
      <w:r>
        <w:separator/>
      </w:r>
    </w:p>
  </w:footnote>
  <w:footnote w:type="continuationSeparator" w:id="0">
    <w:p w14:paraId="567E6BE7" w14:textId="77777777" w:rsidR="00926F7D" w:rsidRDefault="00926F7D" w:rsidP="00FC0B58">
      <w:pPr>
        <w:spacing w:after="0" w:line="240" w:lineRule="auto"/>
      </w:pPr>
      <w:r>
        <w:continuationSeparator/>
      </w:r>
    </w:p>
  </w:footnote>
  <w:footnote w:id="1">
    <w:p w14:paraId="7F5CAE02" w14:textId="77777777" w:rsidR="002B4EEB" w:rsidRPr="00DD1118" w:rsidRDefault="002B4EEB" w:rsidP="002B4EEB">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A67D" w14:textId="77777777" w:rsidR="00CA11E1" w:rsidRDefault="00CA11E1" w:rsidP="00CA11E1">
    <w:pPr>
      <w:pStyle w:val="Encabezado"/>
    </w:pPr>
    <w:r>
      <w:rPr>
        <w:noProof/>
      </w:rPr>
      <w:drawing>
        <wp:anchor distT="0" distB="0" distL="114300" distR="114300" simplePos="0" relativeHeight="251659264" behindDoc="0" locked="0" layoutInCell="1" allowOverlap="1" wp14:anchorId="3F0B527E" wp14:editId="359B2EBB">
          <wp:simplePos x="0" y="0"/>
          <wp:positionH relativeFrom="margin">
            <wp:align>right</wp:align>
          </wp:positionH>
          <wp:positionV relativeFrom="page">
            <wp:posOffset>457200</wp:posOffset>
          </wp:positionV>
          <wp:extent cx="738505" cy="552450"/>
          <wp:effectExtent l="0" t="0" r="4445" b="0"/>
          <wp:wrapSquare wrapText="bothSides"/>
          <wp:docPr id="5" name="Imagen 5" descr="Nuevo Feder Gestión y seguimiento - Fondos Europeos Meli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evo Feder Gestión y seguimiento - Fondos Europeos Melil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50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6D492F2" wp14:editId="14162AE7">
          <wp:simplePos x="0" y="0"/>
          <wp:positionH relativeFrom="margin">
            <wp:align>left</wp:align>
          </wp:positionH>
          <wp:positionV relativeFrom="margin">
            <wp:posOffset>-666750</wp:posOffset>
          </wp:positionV>
          <wp:extent cx="3714750" cy="542925"/>
          <wp:effectExtent l="0" t="0" r="0" b="9525"/>
          <wp:wrapSquare wrapText="bothSides"/>
          <wp:docPr id="6" name="Imagen 1"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1475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D4F78F" w14:textId="77777777" w:rsidR="00CA11E1" w:rsidRPr="007D4AB4" w:rsidRDefault="00CA11E1" w:rsidP="00CA11E1">
    <w:pPr>
      <w:pStyle w:val="Encabezado"/>
    </w:pPr>
  </w:p>
  <w:p w14:paraId="7629DCDF" w14:textId="77777777" w:rsidR="00CA11E1" w:rsidRDefault="00CA11E1" w:rsidP="00CA11E1">
    <w:pPr>
      <w:pStyle w:val="Encabezado"/>
      <w:jc w:val="center"/>
    </w:pPr>
  </w:p>
  <w:p w14:paraId="214BFD8A" w14:textId="20D2CB9A" w:rsidR="001F258F" w:rsidRDefault="001F258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6CDE"/>
    <w:multiLevelType w:val="hybridMultilevel"/>
    <w:tmpl w:val="0A46930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168529A"/>
    <w:multiLevelType w:val="hybridMultilevel"/>
    <w:tmpl w:val="54222D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18771DE"/>
    <w:multiLevelType w:val="hybridMultilevel"/>
    <w:tmpl w:val="F4449F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3F2652E"/>
    <w:multiLevelType w:val="hybridMultilevel"/>
    <w:tmpl w:val="B942B732"/>
    <w:lvl w:ilvl="0" w:tplc="964EDDAA">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AAA8AB8">
      <w:start w:val="1"/>
      <w:numFmt w:val="bullet"/>
      <w:lvlText w:val="o"/>
      <w:lvlJc w:val="left"/>
      <w:pPr>
        <w:ind w:left="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1E171C">
      <w:start w:val="1"/>
      <w:numFmt w:val="bullet"/>
      <w:lvlText w:val="▪"/>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D47A9E">
      <w:start w:val="1"/>
      <w:numFmt w:val="bullet"/>
      <w:lvlText w:val="•"/>
      <w:lvlJc w:val="left"/>
      <w:pPr>
        <w:ind w:left="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8CBD7C">
      <w:start w:val="1"/>
      <w:numFmt w:val="bullet"/>
      <w:lvlRestart w:val="0"/>
      <w:lvlText w:val="•"/>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EB1B6">
      <w:start w:val="1"/>
      <w:numFmt w:val="bullet"/>
      <w:lvlText w:val="▪"/>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82CCC8">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AEBC9A">
      <w:start w:val="1"/>
      <w:numFmt w:val="bullet"/>
      <w:lvlText w:val="o"/>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ECDFD4">
      <w:start w:val="1"/>
      <w:numFmt w:val="bullet"/>
      <w:lvlText w:val="▪"/>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B58"/>
    <w:rsid w:val="0006393D"/>
    <w:rsid w:val="000D2CD4"/>
    <w:rsid w:val="00113CAE"/>
    <w:rsid w:val="001D63A1"/>
    <w:rsid w:val="001F258F"/>
    <w:rsid w:val="00227592"/>
    <w:rsid w:val="00276EF8"/>
    <w:rsid w:val="00277BDD"/>
    <w:rsid w:val="00297329"/>
    <w:rsid w:val="002B3F96"/>
    <w:rsid w:val="002B4EEB"/>
    <w:rsid w:val="00394C58"/>
    <w:rsid w:val="00404050"/>
    <w:rsid w:val="0051396B"/>
    <w:rsid w:val="005441FA"/>
    <w:rsid w:val="00547024"/>
    <w:rsid w:val="00583EBB"/>
    <w:rsid w:val="005B02F9"/>
    <w:rsid w:val="005D6B65"/>
    <w:rsid w:val="00602E1C"/>
    <w:rsid w:val="0067653C"/>
    <w:rsid w:val="0075185E"/>
    <w:rsid w:val="00754637"/>
    <w:rsid w:val="00831FF4"/>
    <w:rsid w:val="00846377"/>
    <w:rsid w:val="008A1DC1"/>
    <w:rsid w:val="008C48C3"/>
    <w:rsid w:val="00926F7D"/>
    <w:rsid w:val="00B05401"/>
    <w:rsid w:val="00BA7D4F"/>
    <w:rsid w:val="00BF61A0"/>
    <w:rsid w:val="00C56BB3"/>
    <w:rsid w:val="00CA11E1"/>
    <w:rsid w:val="00D65120"/>
    <w:rsid w:val="00DA3221"/>
    <w:rsid w:val="00DD7C62"/>
    <w:rsid w:val="00E0789C"/>
    <w:rsid w:val="00E22977"/>
    <w:rsid w:val="00E66654"/>
    <w:rsid w:val="00E81F9C"/>
    <w:rsid w:val="00EF5FCA"/>
    <w:rsid w:val="00F049BC"/>
    <w:rsid w:val="00F20F73"/>
    <w:rsid w:val="00F22FBF"/>
    <w:rsid w:val="00F67645"/>
    <w:rsid w:val="00FC0B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EB7B6"/>
  <w15:chartTrackingRefBased/>
  <w15:docId w15:val="{BBFBDE7F-E77D-4686-9417-A1D6A6D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B58"/>
    <w:rPr>
      <w:kern w:val="0"/>
      <w14:ligatures w14:val="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C0B58"/>
    <w:pPr>
      <w:tabs>
        <w:tab w:val="center" w:pos="4252"/>
        <w:tab w:val="right" w:pos="8504"/>
      </w:tabs>
      <w:spacing w:after="0" w:line="240" w:lineRule="auto"/>
    </w:pPr>
  </w:style>
  <w:style w:type="character" w:customStyle="1" w:styleId="EncabezadoCar">
    <w:name w:val="Encabezado Car"/>
    <w:basedOn w:val="Fuentedeprrafopredeter"/>
    <w:link w:val="Encabezado"/>
    <w:rsid w:val="00FC0B58"/>
    <w:rPr>
      <w:kern w:val="0"/>
      <w14:ligatures w14:val="none"/>
    </w:rPr>
  </w:style>
  <w:style w:type="paragraph" w:styleId="Piedepgina">
    <w:name w:val="footer"/>
    <w:basedOn w:val="Normal"/>
    <w:link w:val="PiedepginaCar"/>
    <w:uiPriority w:val="99"/>
    <w:unhideWhenUsed/>
    <w:rsid w:val="00FC0B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0B58"/>
    <w:rPr>
      <w:kern w:val="0"/>
      <w14:ligatures w14:val="none"/>
    </w:rPr>
  </w:style>
  <w:style w:type="character" w:styleId="Refdenotaalpie">
    <w:name w:val="footnote reference"/>
    <w:uiPriority w:val="99"/>
    <w:rsid w:val="00FC0B58"/>
    <w:rPr>
      <w:vertAlign w:val="superscript"/>
    </w:rPr>
  </w:style>
  <w:style w:type="paragraph" w:styleId="Textonotapie">
    <w:name w:val="footnote text"/>
    <w:basedOn w:val="Normal"/>
    <w:link w:val="TextonotapieCar"/>
    <w:uiPriority w:val="99"/>
    <w:rsid w:val="00FC0B58"/>
    <w:pPr>
      <w:widowControl w:val="0"/>
      <w:autoSpaceDE w:val="0"/>
      <w:autoSpaceDN w:val="0"/>
      <w:adjustRightInd w:val="0"/>
      <w:spacing w:before="240" w:after="240" w:line="288" w:lineRule="auto"/>
      <w:jc w:val="both"/>
    </w:pPr>
    <w:rPr>
      <w:rFonts w:ascii="Times New Roman" w:eastAsia="Times New Roman" w:hAnsi="Times New Roman" w:cs="Courier New"/>
      <w:sz w:val="20"/>
      <w:szCs w:val="20"/>
      <w:lang w:eastAsia="es-ES"/>
    </w:rPr>
  </w:style>
  <w:style w:type="character" w:customStyle="1" w:styleId="TextonotapieCar">
    <w:name w:val="Texto nota pie Car"/>
    <w:basedOn w:val="Fuentedeprrafopredeter"/>
    <w:link w:val="Textonotapie"/>
    <w:uiPriority w:val="99"/>
    <w:rsid w:val="00FC0B58"/>
    <w:rPr>
      <w:rFonts w:ascii="Times New Roman" w:eastAsia="Times New Roman" w:hAnsi="Times New Roman" w:cs="Courier New"/>
      <w:kern w:val="0"/>
      <w:sz w:val="20"/>
      <w:szCs w:val="20"/>
      <w:lang w:eastAsia="es-ES"/>
      <w14:ligatures w14:val="none"/>
    </w:rPr>
  </w:style>
  <w:style w:type="paragraph" w:customStyle="1" w:styleId="footnotedescription">
    <w:name w:val="footnote description"/>
    <w:next w:val="Normal"/>
    <w:link w:val="footnotedescriptionChar"/>
    <w:hidden/>
    <w:rsid w:val="002B4EEB"/>
    <w:pPr>
      <w:spacing w:after="81"/>
      <w:ind w:left="142"/>
    </w:pPr>
    <w:rPr>
      <w:rFonts w:ascii="Calibri" w:eastAsia="Calibri" w:hAnsi="Calibri" w:cs="Calibri"/>
      <w:color w:val="000000"/>
      <w:sz w:val="20"/>
      <w:lang w:eastAsia="es-ES"/>
      <w14:ligatures w14:val="none"/>
    </w:rPr>
  </w:style>
  <w:style w:type="character" w:customStyle="1" w:styleId="footnotedescriptionChar">
    <w:name w:val="footnote description Char"/>
    <w:link w:val="footnotedescription"/>
    <w:rsid w:val="002B4EEB"/>
    <w:rPr>
      <w:rFonts w:ascii="Calibri" w:eastAsia="Calibri" w:hAnsi="Calibri" w:cs="Calibri"/>
      <w:color w:val="000000"/>
      <w:sz w:val="20"/>
      <w:lang w:eastAsia="es-ES"/>
      <w14:ligatures w14:val="none"/>
    </w:rPr>
  </w:style>
  <w:style w:type="character" w:customStyle="1" w:styleId="footnotemark">
    <w:name w:val="footnote mark"/>
    <w:hidden/>
    <w:rsid w:val="002B4EEB"/>
    <w:rPr>
      <w:rFonts w:ascii="Times New Roman" w:eastAsia="Times New Roman" w:hAnsi="Times New Roman" w:cs="Times New Roman"/>
      <w:color w:val="000000"/>
      <w:sz w:val="20"/>
      <w:vertAlign w:val="superscript"/>
    </w:rPr>
  </w:style>
  <w:style w:type="paragraph" w:styleId="Prrafodelista">
    <w:name w:val="List Paragraph"/>
    <w:basedOn w:val="Normal"/>
    <w:uiPriority w:val="34"/>
    <w:qFormat/>
    <w:rsid w:val="00BA7D4F"/>
    <w:pPr>
      <w:ind w:left="720"/>
      <w:contextualSpacing/>
    </w:pPr>
  </w:style>
  <w:style w:type="character" w:styleId="Hipervnculo">
    <w:name w:val="Hyperlink"/>
    <w:basedOn w:val="Fuentedeprrafopredeter"/>
    <w:uiPriority w:val="99"/>
    <w:unhideWhenUsed/>
    <w:rsid w:val="005470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2241</Words>
  <Characters>12327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MUÑOZ SANCHEZ</dc:creator>
  <cp:keywords/>
  <dc:description/>
  <cp:lastModifiedBy>Ugarte Colmenero.Alberto</cp:lastModifiedBy>
  <cp:revision>2</cp:revision>
  <dcterms:created xsi:type="dcterms:W3CDTF">2025-05-29T10:07:00Z</dcterms:created>
  <dcterms:modified xsi:type="dcterms:W3CDTF">2025-05-29T10:07:00Z</dcterms:modified>
</cp:coreProperties>
</file>