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692" w:rsidRPr="0041723D" w:rsidRDefault="00F57B9A" w:rsidP="0041723D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 SUM 2025-7 SIMP</w:t>
      </w:r>
    </w:p>
    <w:p w:rsidR="00905692" w:rsidRPr="00197C60" w:rsidRDefault="00905692" w:rsidP="0041723D">
      <w:pPr>
        <w:spacing w:after="0" w:line="276" w:lineRule="auto"/>
        <w:ind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905692" w:rsidRPr="005B1137" w:rsidRDefault="00F57B9A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 xml:space="preserve">SUMINISTRO DE LICENCIA ANUAL DE UN SOFTWARE PARA LA CREACIÓN DE UN ESPACIO DE DATOS COMO SERVICIO DEDICADO A LA COMPARTICIÓN DE DATOS DE PACIENTES CON CÁNCER DE PULMÓN QUE PERMITA LA COMPARTICIÓN SEGURA Y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SOBERANA DE DATOS EN EL MARCO DEL PROYECTO SHARE: SPANISH CANCER DATA SPACE (TSI-100123-2024-3[1]) PARA LA FUNDACIÓN PARA LA INVESTIGACIÓN BIOMÉDICA DEL HOSPITAL UNIVERSITARIO PUERTA DE HIERRO MAJADAHONDA</w:t>
      </w:r>
    </w:p>
    <w:p w:rsidR="00905692" w:rsidRPr="00197C60" w:rsidRDefault="00905692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905692" w:rsidRPr="00F26773" w:rsidRDefault="00F57B9A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:rsidR="00905692" w:rsidRDefault="00905692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905692" w:rsidRDefault="00F57B9A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>El Presid</w:t>
      </w:r>
      <w:r w:rsidRPr="00C76EB4">
        <w:rPr>
          <w:rFonts w:eastAsia="Times New Roman" w:cstheme="minorHAnsi"/>
          <w:lang w:eastAsia="es-ES"/>
        </w:rPr>
        <w:t xml:space="preserve">ente del Patronato y de la Comisión Delegada de la Fundación para la investigación biomédica del Hospital Universitario Puerta de Hierro de Majadahonda, </w:t>
      </w:r>
      <w:r w:rsidRPr="009E72BC">
        <w:rPr>
          <w:rFonts w:eastAsia="Times New Roman" w:cstheme="minorHAnsi"/>
          <w:lang w:eastAsia="es-ES"/>
        </w:rPr>
        <w:t>en representación del órgano de contratación,</w:t>
      </w:r>
    </w:p>
    <w:p w:rsidR="00905692" w:rsidRPr="009E72BC" w:rsidRDefault="00905692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905692" w:rsidRPr="00F8163D" w:rsidRDefault="00F57B9A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:rsidR="00905692" w:rsidRDefault="00905692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905692" w:rsidRDefault="00F57B9A" w:rsidP="005F7B6F">
      <w:pPr>
        <w:pStyle w:val="Prrafodelista"/>
        <w:numPr>
          <w:ilvl w:val="0"/>
          <w:numId w:val="2"/>
        </w:numPr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Ordenar el inicio del expediente para la </w:t>
      </w:r>
      <w:r w:rsidRPr="004E0509">
        <w:rPr>
          <w:rFonts w:eastAsia="Times New Roman" w:cstheme="minorHAnsi"/>
          <w:bCs/>
          <w:lang w:eastAsia="es-ES"/>
        </w:rPr>
        <w:t>contratación del</w:t>
      </w:r>
      <w:r>
        <w:rPr>
          <w:rFonts w:eastAsia="Times New Roman" w:cstheme="minorHAnsi"/>
          <w:bCs/>
          <w:lang w:eastAsia="es-ES"/>
        </w:rPr>
        <w:t xml:space="preserve"> </w:t>
      </w:r>
      <w:r w:rsidRPr="00710367">
        <w:rPr>
          <w:rFonts w:eastAsia="Times New Roman" w:cstheme="minorHAnsi"/>
          <w:bCs/>
          <w:noProof/>
          <w:lang w:eastAsia="es-ES"/>
        </w:rPr>
        <w:t xml:space="preserve">SUMINISTRO DE LICENCIA ANUAL DE UN SOFTWARE PARA LA CREACIÓN DE UN ESPACIO DE DATOS COMO SERVICIO DEDICADO A LA COMPARTICIÓN DE DATOS DE PACIENTES CON CÁNCER DE PULMÓN QUE PERMITA LA COMPARTICIÓN SEGURA Y SOBERANA DE DATOS EN EL MARCO DEL </w:t>
      </w:r>
      <w:r w:rsidRPr="00710367">
        <w:rPr>
          <w:rFonts w:eastAsia="Times New Roman" w:cstheme="minorHAnsi"/>
          <w:bCs/>
          <w:noProof/>
          <w:lang w:eastAsia="es-ES"/>
        </w:rPr>
        <w:t>PROYECTO SHARE: SPANISH CANCER DATA SPACE (TSI-100123-2024-3[1]) PARA LA FUNDACIÓN PARA LA INVESTIGACIÓN BIOMÉDICA DEL HOSPITAL UNIVERSITARIO PUERTA DE HIERRO MAJADAHONDA</w:t>
      </w:r>
      <w:r>
        <w:rPr>
          <w:rFonts w:eastAsia="Times New Roman" w:cstheme="minorHAnsi"/>
          <w:bCs/>
          <w:i/>
          <w:iCs/>
          <w:lang w:eastAsia="es-ES"/>
        </w:rPr>
        <w:t>.</w:t>
      </w:r>
      <w:r>
        <w:rPr>
          <w:rFonts w:eastAsia="Times New Roman" w:cstheme="minorHAnsi"/>
          <w:bCs/>
          <w:lang w:eastAsia="es-ES"/>
        </w:rPr>
        <w:t xml:space="preserve"> </w:t>
      </w:r>
    </w:p>
    <w:p w:rsidR="00905692" w:rsidRDefault="00905692" w:rsidP="005F7B6F">
      <w:pPr>
        <w:pStyle w:val="Prrafodelista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F57B9A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Aprobar los Pliegos de Cláusulas Administrativas Particulares y de Prescripciones </w:t>
      </w:r>
      <w:r w:rsidRPr="004E0509">
        <w:rPr>
          <w:rFonts w:eastAsia="Times New Roman" w:cstheme="minorHAnsi"/>
          <w:bCs/>
          <w:lang w:eastAsia="es-ES"/>
        </w:rPr>
        <w:t>Técnicas, que servirán de base para la citada contratación.</w:t>
      </w:r>
    </w:p>
    <w:p w:rsidR="00905692" w:rsidRPr="004E0509" w:rsidRDefault="00905692" w:rsidP="004E0509">
      <w:pPr>
        <w:pStyle w:val="Prrafodelista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F57B9A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Pr="00710367">
        <w:rPr>
          <w:rFonts w:eastAsia="Times New Roman" w:cstheme="minorHAnsi"/>
          <w:b/>
          <w:noProof/>
          <w:lang w:eastAsia="es-ES"/>
        </w:rPr>
        <w:t>OCHENTA Y DOS MIL SEISCIENTOS CUARENTA Y CUATRO CON SESENTA Y TRES</w:t>
      </w:r>
      <w:r>
        <w:rPr>
          <w:rFonts w:eastAsia="Times New Roman" w:cstheme="minorHAnsi"/>
          <w:b/>
          <w:noProof/>
          <w:lang w:eastAsia="es-ES"/>
        </w:rPr>
        <w:t xml:space="preserve"> </w:t>
      </w:r>
      <w:r>
        <w:rPr>
          <w:rFonts w:eastAsia="Times New Roman" w:cstheme="minorHAnsi"/>
          <w:b/>
          <w:lang w:eastAsia="es-ES"/>
        </w:rPr>
        <w:t>EUROS</w:t>
      </w:r>
      <w:r w:rsidRPr="00E506C8">
        <w:rPr>
          <w:rFonts w:eastAsia="Times New Roman" w:cstheme="minorHAnsi"/>
          <w:b/>
          <w:lang w:eastAsia="es-ES"/>
        </w:rPr>
        <w:t xml:space="preserve"> (</w:t>
      </w:r>
      <w:r>
        <w:rPr>
          <w:rFonts w:eastAsia="Times New Roman" w:cstheme="minorHAnsi"/>
          <w:b/>
          <w:noProof/>
          <w:lang w:eastAsia="es-ES"/>
        </w:rPr>
        <w:t>82.644,63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:rsidR="00905692" w:rsidRPr="004E0509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Pr="00DB1C53" w:rsidRDefault="00F57B9A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Sistema de Contratación:</w:t>
      </w:r>
      <w:r>
        <w:rPr>
          <w:rFonts w:eastAsia="Times New Roman" w:cstheme="minorHAnsi"/>
          <w:bCs/>
          <w:lang w:eastAsia="es-ES"/>
        </w:rPr>
        <w:t xml:space="preserve"> </w:t>
      </w:r>
      <w:r w:rsidRPr="00710367">
        <w:rPr>
          <w:rFonts w:eastAsia="Times New Roman" w:cstheme="minorHAnsi"/>
          <w:bCs/>
          <w:noProof/>
          <w:lang w:eastAsia="es-ES"/>
        </w:rPr>
        <w:t>Abierto simplificado con pluralidad de criterios</w:t>
      </w:r>
      <w:r w:rsidRPr="00DB1C53">
        <w:rPr>
          <w:rFonts w:eastAsia="Times New Roman" w:cstheme="minorHAnsi"/>
          <w:b/>
          <w:lang w:eastAsia="es-ES"/>
        </w:rPr>
        <w:t xml:space="preserve">, </w:t>
      </w:r>
      <w:r w:rsidRPr="00DB1C53">
        <w:rPr>
          <w:rFonts w:eastAsia="Times New Roman" w:cstheme="minorHAnsi"/>
          <w:bCs/>
          <w:lang w:eastAsia="es-ES"/>
        </w:rPr>
        <w:t xml:space="preserve">en </w:t>
      </w:r>
      <w:r w:rsidRPr="00DB1C53">
        <w:rPr>
          <w:rFonts w:eastAsia="Times New Roman" w:cstheme="minorHAnsi"/>
          <w:bCs/>
          <w:lang w:eastAsia="es-ES"/>
        </w:rPr>
        <w:t>aplicación de los artículos 131.2, 146, y 159 de la LCSP según lo estipulado en la Ley de Contratos del Sector Público.</w:t>
      </w:r>
    </w:p>
    <w:p w:rsidR="00905692" w:rsidRPr="004E0509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F57B9A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figura en el expediente.</w:t>
      </w:r>
    </w:p>
    <w:p w:rsidR="00905692" w:rsidRPr="004E0509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F57B9A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</w:t>
      </w:r>
      <w:r w:rsidRPr="004E0509">
        <w:rPr>
          <w:rFonts w:eastAsia="Times New Roman" w:cstheme="minorHAnsi"/>
          <w:bCs/>
          <w:lang w:eastAsia="es-ES"/>
        </w:rPr>
        <w:t>ta en virtud de las facultades que ostenta como Órgano de Contratación.</w:t>
      </w:r>
    </w:p>
    <w:p w:rsidR="00905692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F57B9A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En Majadahonda, a </w:t>
      </w:r>
      <w:r>
        <w:rPr>
          <w:rFonts w:eastAsia="Times New Roman" w:cstheme="minorHAnsi"/>
          <w:bCs/>
          <w:noProof/>
          <w:lang w:eastAsia="es-ES"/>
        </w:rPr>
        <w:t>30 de julio de 2025</w:t>
      </w:r>
      <w:r>
        <w:rPr>
          <w:rFonts w:eastAsia="Times New Roman" w:cstheme="minorHAnsi"/>
          <w:bCs/>
          <w:lang w:eastAsia="es-ES"/>
        </w:rPr>
        <w:t>,</w:t>
      </w:r>
    </w:p>
    <w:p w:rsidR="00905692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Pr="004E0509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F57B9A" w:rsidP="005F7B6F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:rsidR="00905692" w:rsidRPr="004E0509" w:rsidRDefault="0090569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:rsidR="00905692" w:rsidRPr="004E0509" w:rsidRDefault="00F57B9A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:rsidR="00905692" w:rsidRPr="004E0509" w:rsidRDefault="00F57B9A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:rsidR="00905692" w:rsidRDefault="00905692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905692" w:rsidRDefault="00905692" w:rsidP="002E4190">
      <w:pPr>
        <w:rPr>
          <w:rFonts w:eastAsia="Times New Roman" w:cstheme="minorHAnsi"/>
          <w:lang w:eastAsia="es-ES"/>
        </w:rPr>
      </w:pPr>
      <w:bookmarkStart w:id="0" w:name="_GoBack"/>
      <w:bookmarkEnd w:id="0"/>
    </w:p>
    <w:sectPr w:rsidR="00905692" w:rsidSect="00905692">
      <w:headerReference w:type="default" r:id="rId7"/>
      <w:footerReference w:type="default" r:id="rId8"/>
      <w:pgSz w:w="11906" w:h="16838" w:code="9"/>
      <w:pgMar w:top="1418" w:right="1134" w:bottom="709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57B9A">
      <w:pPr>
        <w:spacing w:after="0" w:line="240" w:lineRule="auto"/>
      </w:pPr>
      <w:r>
        <w:separator/>
      </w:r>
    </w:p>
  </w:endnote>
  <w:endnote w:type="continuationSeparator" w:id="0">
    <w:p w:rsidR="00000000" w:rsidRDefault="00F57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92" w:rsidRPr="00A57B6B" w:rsidRDefault="00905692" w:rsidP="00E7552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57B9A">
      <w:pPr>
        <w:spacing w:after="0" w:line="240" w:lineRule="auto"/>
      </w:pPr>
      <w:r>
        <w:separator/>
      </w:r>
    </w:p>
  </w:footnote>
  <w:footnote w:type="continuationSeparator" w:id="0">
    <w:p w:rsidR="00000000" w:rsidRDefault="00F57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92" w:rsidRPr="007D4AB4" w:rsidRDefault="00F57B9A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>
          <wp:extent cx="3067050" cy="476250"/>
          <wp:effectExtent l="0" t="0" r="0" b="0"/>
          <wp:docPr id="4" name="Imagen 4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5692" w:rsidRDefault="00905692" w:rsidP="005668C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69E6670C"/>
    <w:multiLevelType w:val="hybridMultilevel"/>
    <w:tmpl w:val="FBC099A2"/>
    <w:lvl w:ilvl="0" w:tplc="951E35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31C30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46A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4A7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EC8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52E3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EA81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EEA2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4CD1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6CE97DA2"/>
    <w:multiLevelType w:val="hybridMultilevel"/>
    <w:tmpl w:val="D59EA774"/>
    <w:lvl w:ilvl="0" w:tplc="615C9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820D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6F7C5A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0F6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8E77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D8E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CAF0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CF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665A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B3A28"/>
    <w:rsid w:val="000F1A4E"/>
    <w:rsid w:val="00115502"/>
    <w:rsid w:val="001551CA"/>
    <w:rsid w:val="00172953"/>
    <w:rsid w:val="0018340F"/>
    <w:rsid w:val="00197C60"/>
    <w:rsid w:val="001F2051"/>
    <w:rsid w:val="001F48ED"/>
    <w:rsid w:val="00216760"/>
    <w:rsid w:val="002B2A44"/>
    <w:rsid w:val="002E4190"/>
    <w:rsid w:val="00331B9F"/>
    <w:rsid w:val="00352F3A"/>
    <w:rsid w:val="00393E3B"/>
    <w:rsid w:val="003C2E03"/>
    <w:rsid w:val="003C6B39"/>
    <w:rsid w:val="0041723D"/>
    <w:rsid w:val="004A086B"/>
    <w:rsid w:val="004B4F97"/>
    <w:rsid w:val="004D3327"/>
    <w:rsid w:val="004E0509"/>
    <w:rsid w:val="004E492E"/>
    <w:rsid w:val="005668CF"/>
    <w:rsid w:val="00582012"/>
    <w:rsid w:val="00592221"/>
    <w:rsid w:val="005B1137"/>
    <w:rsid w:val="005D6B65"/>
    <w:rsid w:val="005F7B6F"/>
    <w:rsid w:val="00602E1C"/>
    <w:rsid w:val="00635154"/>
    <w:rsid w:val="006378CA"/>
    <w:rsid w:val="0064689C"/>
    <w:rsid w:val="0067332C"/>
    <w:rsid w:val="006C3459"/>
    <w:rsid w:val="00710367"/>
    <w:rsid w:val="00772370"/>
    <w:rsid w:val="007D4AB4"/>
    <w:rsid w:val="007D5468"/>
    <w:rsid w:val="008355C2"/>
    <w:rsid w:val="00837012"/>
    <w:rsid w:val="00843176"/>
    <w:rsid w:val="008B60BA"/>
    <w:rsid w:val="008B65E9"/>
    <w:rsid w:val="008E0C65"/>
    <w:rsid w:val="00905692"/>
    <w:rsid w:val="009063FD"/>
    <w:rsid w:val="00964670"/>
    <w:rsid w:val="009A7FC3"/>
    <w:rsid w:val="009E72BC"/>
    <w:rsid w:val="00A41BF8"/>
    <w:rsid w:val="00A57B6B"/>
    <w:rsid w:val="00AC76AA"/>
    <w:rsid w:val="00B1633E"/>
    <w:rsid w:val="00B212DA"/>
    <w:rsid w:val="00C05E11"/>
    <w:rsid w:val="00C76EB4"/>
    <w:rsid w:val="00C95EAD"/>
    <w:rsid w:val="00CC3C40"/>
    <w:rsid w:val="00D57CEE"/>
    <w:rsid w:val="00D705D5"/>
    <w:rsid w:val="00D909B6"/>
    <w:rsid w:val="00DA3221"/>
    <w:rsid w:val="00DB1C53"/>
    <w:rsid w:val="00DC6B60"/>
    <w:rsid w:val="00DD2243"/>
    <w:rsid w:val="00DF652E"/>
    <w:rsid w:val="00E15018"/>
    <w:rsid w:val="00E506C8"/>
    <w:rsid w:val="00E7552F"/>
    <w:rsid w:val="00EA7759"/>
    <w:rsid w:val="00ED37BE"/>
    <w:rsid w:val="00EF02FD"/>
    <w:rsid w:val="00F049BC"/>
    <w:rsid w:val="00F26773"/>
    <w:rsid w:val="00F57B9A"/>
    <w:rsid w:val="00F8163D"/>
    <w:rsid w:val="00F924F9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04FE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Neira Álvarez.Fernando</dc:creator>
  <cp:lastModifiedBy>Ugarte Colmenero.Alberto</cp:lastModifiedBy>
  <cp:revision>2</cp:revision>
  <dcterms:created xsi:type="dcterms:W3CDTF">2025-09-02T10:10:00Z</dcterms:created>
  <dcterms:modified xsi:type="dcterms:W3CDTF">2025-09-08T12:13:00Z</dcterms:modified>
</cp:coreProperties>
</file>