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DE" w:rsidRDefault="00582985" w:rsidP="002C34C8">
      <w:pPr>
        <w:pStyle w:val="Ttulo1"/>
        <w:jc w:val="center"/>
      </w:pPr>
      <w:r>
        <w:t>INFORME DE JUSTIFICACIÓN DE LA ADJUDICACIÓN</w:t>
      </w:r>
    </w:p>
    <w:p w:rsidR="006824A0" w:rsidRPr="002E63B9" w:rsidRDefault="006824A0" w:rsidP="006824A0">
      <w:pPr>
        <w:rPr>
          <w:lang w:val="es-ES"/>
        </w:rPr>
      </w:pP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Contrato de suministro de </w:t>
      </w:r>
      <w:r w:rsidR="002C34C8" w:rsidRPr="002E63B9">
        <w:rPr>
          <w:lang w:val="es-ES"/>
        </w:rPr>
        <w:t xml:space="preserve">una licencia, despliegue e integración de la plataforma de aprendizaje federado para el espacio de datos creado en el marco del proyecto SHARE: </w:t>
      </w:r>
      <w:proofErr w:type="spellStart"/>
      <w:r w:rsidR="002C34C8" w:rsidRPr="002E63B9">
        <w:rPr>
          <w:lang w:val="es-ES"/>
        </w:rPr>
        <w:t>Spanish</w:t>
      </w:r>
      <w:proofErr w:type="spellEnd"/>
      <w:r w:rsidR="002C34C8" w:rsidRPr="002E63B9">
        <w:rPr>
          <w:lang w:val="es-ES"/>
        </w:rPr>
        <w:t xml:space="preserve"> </w:t>
      </w:r>
      <w:proofErr w:type="spellStart"/>
      <w:r w:rsidR="002C34C8" w:rsidRPr="002E63B9">
        <w:rPr>
          <w:lang w:val="es-ES"/>
        </w:rPr>
        <w:t>Cancer</w:t>
      </w:r>
      <w:proofErr w:type="spellEnd"/>
      <w:r w:rsidR="002C34C8" w:rsidRPr="002E63B9">
        <w:rPr>
          <w:lang w:val="es-ES"/>
        </w:rPr>
        <w:t xml:space="preserve"> Data </w:t>
      </w:r>
      <w:proofErr w:type="spellStart"/>
      <w:r w:rsidR="002C34C8" w:rsidRPr="002E63B9">
        <w:rPr>
          <w:lang w:val="es-ES"/>
        </w:rPr>
        <w:t>Space</w:t>
      </w:r>
      <w:proofErr w:type="spellEnd"/>
      <w:r w:rsidR="002C34C8" w:rsidRPr="002E63B9">
        <w:rPr>
          <w:lang w:val="es-ES"/>
        </w:rPr>
        <w:t xml:space="preserve"> (TSI-100123-2024-3) 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>Entidad contratante: Fundación para la Investigación Biomédica del Hospital Universitario Puerta de Hierro Majadahonda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>Procedimiento: Abierto simplificado con pluralidad de criterios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Objeto del contrato: Adquisición de una </w:t>
      </w:r>
      <w:r w:rsidR="002C34C8" w:rsidRPr="002E63B9">
        <w:rPr>
          <w:lang w:val="es-ES"/>
        </w:rPr>
        <w:t xml:space="preserve">licencia, despliegue e integración de la plataforma de aprendizaje federado para el espacio de datos creado en el marco del proyecto SHARE: </w:t>
      </w:r>
      <w:proofErr w:type="spellStart"/>
      <w:r w:rsidR="002C34C8" w:rsidRPr="002E63B9">
        <w:rPr>
          <w:lang w:val="es-ES"/>
        </w:rPr>
        <w:t>Spanish</w:t>
      </w:r>
      <w:proofErr w:type="spellEnd"/>
      <w:r w:rsidR="002C34C8" w:rsidRPr="002E63B9">
        <w:rPr>
          <w:lang w:val="es-ES"/>
        </w:rPr>
        <w:t xml:space="preserve"> </w:t>
      </w:r>
      <w:proofErr w:type="spellStart"/>
      <w:r w:rsidR="002C34C8" w:rsidRPr="002E63B9">
        <w:rPr>
          <w:lang w:val="es-ES"/>
        </w:rPr>
        <w:t>Cancer</w:t>
      </w:r>
      <w:proofErr w:type="spellEnd"/>
      <w:r w:rsidR="002C34C8" w:rsidRPr="002E63B9">
        <w:rPr>
          <w:lang w:val="es-ES"/>
        </w:rPr>
        <w:t xml:space="preserve"> Data </w:t>
      </w:r>
      <w:proofErr w:type="spellStart"/>
      <w:r w:rsidR="002C34C8" w:rsidRPr="002E63B9">
        <w:rPr>
          <w:lang w:val="es-ES"/>
        </w:rPr>
        <w:t>Space</w:t>
      </w:r>
      <w:proofErr w:type="spellEnd"/>
      <w:r w:rsidR="002C34C8" w:rsidRPr="002E63B9">
        <w:rPr>
          <w:lang w:val="es-ES"/>
        </w:rPr>
        <w:t xml:space="preserve"> (TSI-100123-2024-3) para la Fundación para la Investigación Biomédica del Hospital Universitario Puerta de Hierro Majadahonda</w:t>
      </w:r>
    </w:p>
    <w:p w:rsidR="000B27DE" w:rsidRPr="002E63B9" w:rsidRDefault="006824A0" w:rsidP="006824A0">
      <w:pPr>
        <w:rPr>
          <w:lang w:val="es-ES"/>
        </w:rPr>
      </w:pPr>
      <w:r w:rsidRPr="002E63B9">
        <w:rPr>
          <w:lang w:val="es-ES"/>
        </w:rPr>
        <w:t xml:space="preserve">Fecha: </w:t>
      </w:r>
      <w:r w:rsidR="002C34C8" w:rsidRPr="002E63B9">
        <w:rPr>
          <w:lang w:val="es-ES"/>
        </w:rPr>
        <w:t>05/09/2025</w:t>
      </w:r>
      <w:r w:rsidR="00582985" w:rsidRPr="002E63B9">
        <w:rPr>
          <w:lang w:val="es-ES"/>
        </w:rPr>
        <w:br/>
      </w:r>
    </w:p>
    <w:p w:rsidR="000B27DE" w:rsidRPr="002E63B9" w:rsidRDefault="00582985" w:rsidP="006824A0">
      <w:pPr>
        <w:pStyle w:val="Ttulo2"/>
        <w:jc w:val="both"/>
        <w:rPr>
          <w:lang w:val="es-ES"/>
        </w:rPr>
      </w:pPr>
      <w:r w:rsidRPr="002E63B9">
        <w:rPr>
          <w:lang w:val="es-ES"/>
        </w:rPr>
        <w:t>1. Antecedentes</w:t>
      </w:r>
    </w:p>
    <w:p w:rsidR="00914135" w:rsidRPr="002E63B9" w:rsidRDefault="002E63B9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En fecha 30 de julio de 2025 </w:t>
      </w:r>
      <w:r w:rsidR="00582985" w:rsidRPr="002E63B9">
        <w:rPr>
          <w:lang w:val="es-ES"/>
        </w:rPr>
        <w:t xml:space="preserve">la Fundación para la Investigación Biomédica del Hospital Universitario Puerta de Hierro Majadahonda aprobó la necesidad de disponer de una </w:t>
      </w:r>
      <w:r w:rsidR="002C34C8" w:rsidRPr="002E63B9">
        <w:rPr>
          <w:lang w:val="es-ES"/>
        </w:rPr>
        <w:t xml:space="preserve"> licencia, despliegue e integración de la plataforma de aprendizaje federado para el espacio de datos creado en el marco del proyecto SHARE, </w:t>
      </w:r>
      <w:r w:rsidR="00582985" w:rsidRPr="002E63B9">
        <w:rPr>
          <w:lang w:val="es-ES"/>
        </w:rPr>
        <w:t xml:space="preserve">considerado imprescindible para el desarrollo del proyecto de investigación </w:t>
      </w:r>
      <w:r w:rsidR="002C34C8" w:rsidRPr="002E63B9">
        <w:rPr>
          <w:lang w:val="es-ES"/>
        </w:rPr>
        <w:t xml:space="preserve">SHARE: </w:t>
      </w:r>
      <w:proofErr w:type="spellStart"/>
      <w:r w:rsidR="002C34C8" w:rsidRPr="002E63B9">
        <w:rPr>
          <w:lang w:val="es-ES"/>
        </w:rPr>
        <w:t>Spanish</w:t>
      </w:r>
      <w:proofErr w:type="spellEnd"/>
      <w:r w:rsidR="002C34C8" w:rsidRPr="002E63B9">
        <w:rPr>
          <w:lang w:val="es-ES"/>
        </w:rPr>
        <w:t xml:space="preserve"> </w:t>
      </w:r>
      <w:proofErr w:type="spellStart"/>
      <w:r w:rsidR="002C34C8" w:rsidRPr="002E63B9">
        <w:rPr>
          <w:lang w:val="es-ES"/>
        </w:rPr>
        <w:t>Cancer</w:t>
      </w:r>
      <w:proofErr w:type="spellEnd"/>
      <w:r w:rsidR="002C34C8" w:rsidRPr="002E63B9">
        <w:rPr>
          <w:lang w:val="es-ES"/>
        </w:rPr>
        <w:t xml:space="preserve"> Data </w:t>
      </w:r>
      <w:proofErr w:type="spellStart"/>
      <w:r w:rsidR="002C34C8" w:rsidRPr="002E63B9">
        <w:rPr>
          <w:lang w:val="es-ES"/>
        </w:rPr>
        <w:t>Space</w:t>
      </w:r>
      <w:proofErr w:type="spellEnd"/>
      <w:r w:rsidR="002C34C8" w:rsidRPr="002E63B9">
        <w:rPr>
          <w:lang w:val="es-ES"/>
        </w:rPr>
        <w:t xml:space="preserve"> (TSI-100123-2024-3)</w:t>
      </w:r>
      <w:r w:rsidR="00582985" w:rsidRPr="002E63B9">
        <w:rPr>
          <w:lang w:val="es-ES"/>
        </w:rPr>
        <w:br/>
      </w:r>
      <w:r w:rsidR="00582985" w:rsidRPr="002E63B9">
        <w:rPr>
          <w:lang w:val="es-ES"/>
        </w:rPr>
        <w:br/>
        <w:t>Con el fin de garantizar los principios de publicidad, concurrencia y transparencia, se procedió a la publicación del correspondiente Pliego de Cláusulas Administrativas Particulares (PCAP) que ha de regir en el contrato, mediante procedimiento abierto simplificado con pluralidad de criterios de adjudicación.</w:t>
      </w:r>
    </w:p>
    <w:p w:rsidR="000B27DE" w:rsidRPr="002E63B9" w:rsidRDefault="00582985" w:rsidP="006824A0">
      <w:pPr>
        <w:pStyle w:val="Ttulo2"/>
        <w:jc w:val="both"/>
        <w:rPr>
          <w:lang w:val="es-ES"/>
        </w:rPr>
      </w:pPr>
      <w:r w:rsidRPr="002E63B9">
        <w:rPr>
          <w:lang w:val="es-ES"/>
        </w:rPr>
        <w:t>2. Desarrollo del procedimiento de licitación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>- El anuncio de licitación se publicó en la plataforma correspondiente el día</w:t>
      </w:r>
      <w:r w:rsidR="002E63B9" w:rsidRPr="002E63B9">
        <w:rPr>
          <w:lang w:val="es-ES"/>
        </w:rPr>
        <w:t xml:space="preserve"> 4 de Agosto de 2025.</w:t>
      </w:r>
      <w:r w:rsidRPr="002E63B9">
        <w:rPr>
          <w:lang w:val="es-ES"/>
        </w:rPr>
        <w:br/>
        <w:t xml:space="preserve">- Dentro del plazo establecido, se recibió una única oferta presentada por </w:t>
      </w:r>
      <w:proofErr w:type="spellStart"/>
      <w:r w:rsidR="002C34C8" w:rsidRPr="002E63B9">
        <w:rPr>
          <w:lang w:val="es-ES"/>
        </w:rPr>
        <w:t>Acuratio</w:t>
      </w:r>
      <w:proofErr w:type="spellEnd"/>
      <w:r w:rsidR="002C34C8" w:rsidRPr="002E63B9">
        <w:rPr>
          <w:lang w:val="es-ES"/>
        </w:rPr>
        <w:t xml:space="preserve"> </w:t>
      </w:r>
      <w:proofErr w:type="spellStart"/>
      <w:r w:rsidR="002C34C8" w:rsidRPr="002E63B9">
        <w:rPr>
          <w:lang w:val="es-ES"/>
        </w:rPr>
        <w:t>Europe</w:t>
      </w:r>
      <w:proofErr w:type="spellEnd"/>
      <w:r w:rsidR="002C34C8" w:rsidRPr="002E63B9">
        <w:rPr>
          <w:lang w:val="es-ES"/>
        </w:rPr>
        <w:t xml:space="preserve"> SL</w:t>
      </w:r>
      <w:r w:rsidRPr="002E63B9">
        <w:rPr>
          <w:lang w:val="es-ES"/>
        </w:rPr>
        <w:t>.</w:t>
      </w:r>
      <w:r w:rsidRPr="002E63B9">
        <w:rPr>
          <w:lang w:val="es-ES"/>
        </w:rPr>
        <w:br/>
        <w:t>- La mesa de contratación, constituida de conformidad con la normativa vigente, procedió a la apertura y análisis de la documentación administrativa, técnica y económica presentada.</w:t>
      </w:r>
    </w:p>
    <w:p w:rsidR="000B27DE" w:rsidRPr="002E63B9" w:rsidRDefault="00582985" w:rsidP="006824A0">
      <w:pPr>
        <w:pStyle w:val="Ttulo2"/>
        <w:jc w:val="both"/>
        <w:rPr>
          <w:lang w:val="es-ES"/>
        </w:rPr>
      </w:pPr>
      <w:r w:rsidRPr="002E63B9">
        <w:rPr>
          <w:lang w:val="es-ES"/>
        </w:rPr>
        <w:t>3. Evaluación de la oferta</w:t>
      </w:r>
    </w:p>
    <w:p w:rsidR="002C34C8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La oferta presentada por </w:t>
      </w:r>
      <w:proofErr w:type="spellStart"/>
      <w:r w:rsidR="002C34C8" w:rsidRPr="002E63B9">
        <w:rPr>
          <w:lang w:val="es-ES"/>
        </w:rPr>
        <w:t>Acuratio</w:t>
      </w:r>
      <w:proofErr w:type="spellEnd"/>
      <w:r w:rsidR="002C34C8" w:rsidRPr="002E63B9">
        <w:rPr>
          <w:lang w:val="es-ES"/>
        </w:rPr>
        <w:t xml:space="preserve"> </w:t>
      </w:r>
      <w:proofErr w:type="spellStart"/>
      <w:r w:rsidR="002C34C8" w:rsidRPr="002E63B9">
        <w:rPr>
          <w:lang w:val="es-ES"/>
        </w:rPr>
        <w:t>Europe</w:t>
      </w:r>
      <w:proofErr w:type="spellEnd"/>
      <w:r w:rsidR="002C34C8" w:rsidRPr="002E63B9">
        <w:rPr>
          <w:lang w:val="es-ES"/>
        </w:rPr>
        <w:t xml:space="preserve"> SL</w:t>
      </w:r>
      <w:r w:rsidRPr="002E63B9">
        <w:rPr>
          <w:lang w:val="es-ES"/>
        </w:rPr>
        <w:t xml:space="preserve"> ha sido evaluada en base a los criterios de adjudi</w:t>
      </w:r>
      <w:r w:rsidR="002C34C8" w:rsidRPr="002E63B9">
        <w:rPr>
          <w:lang w:val="es-ES"/>
        </w:rPr>
        <w:t xml:space="preserve">cación establecidos en el PCAP: de solvencia técnica (experiencia en al menos cinco proyectos, productos o servicios desarrollados para la creación de espacios de datos con tecnologías habilitadoras de la privacidad en los últimos cinco años; experiencia en al menos </w:t>
      </w:r>
      <w:r w:rsidR="002C34C8" w:rsidRPr="002E63B9">
        <w:rPr>
          <w:lang w:val="es-ES"/>
        </w:rPr>
        <w:lastRenderedPageBreak/>
        <w:t xml:space="preserve">cinco proyectos o servicios desarrollados en aprendizaje federado en el mismo periodo. Igualmente, deberán haber participado en al menos un proyecto de investigación en aprendizaje federado en los últimos cinco años; participación en al menos una iniciativa promovida o reconocida por </w:t>
      </w:r>
      <w:proofErr w:type="spellStart"/>
      <w:r w:rsidR="002C34C8" w:rsidRPr="002E63B9">
        <w:rPr>
          <w:lang w:val="es-ES"/>
        </w:rPr>
        <w:t>Gaia</w:t>
      </w:r>
      <w:proofErr w:type="spellEnd"/>
      <w:r w:rsidR="002C34C8" w:rsidRPr="002E63B9">
        <w:rPr>
          <w:lang w:val="es-ES"/>
        </w:rPr>
        <w:t xml:space="preserve">-X </w:t>
      </w:r>
      <w:proofErr w:type="spellStart"/>
      <w:r w:rsidR="002C34C8" w:rsidRPr="002E63B9">
        <w:rPr>
          <w:lang w:val="es-ES"/>
        </w:rPr>
        <w:t>Spain</w:t>
      </w:r>
      <w:proofErr w:type="spellEnd"/>
      <w:r w:rsidR="00CA23B4" w:rsidRPr="002E63B9">
        <w:rPr>
          <w:lang w:val="es-ES"/>
        </w:rPr>
        <w:t xml:space="preserve">; </w:t>
      </w:r>
      <w:r w:rsidR="00380127" w:rsidRPr="002E63B9">
        <w:rPr>
          <w:lang w:val="es-ES"/>
        </w:rPr>
        <w:t xml:space="preserve">solvencia económica y </w:t>
      </w:r>
      <w:proofErr w:type="spellStart"/>
      <w:r w:rsidR="00380127" w:rsidRPr="002E63B9">
        <w:rPr>
          <w:lang w:val="es-ES"/>
        </w:rPr>
        <w:t>financier</w:t>
      </w:r>
      <w:proofErr w:type="spellEnd"/>
      <w:r w:rsidR="00380127" w:rsidRPr="002E63B9">
        <w:rPr>
          <w:lang w:val="es-ES"/>
        </w:rPr>
        <w:t xml:space="preserve">; y </w:t>
      </w:r>
      <w:r w:rsidR="00CA23B4" w:rsidRPr="002E63B9">
        <w:rPr>
          <w:lang w:val="es-ES"/>
        </w:rPr>
        <w:t>Plan de trabajo y organización.</w:t>
      </w:r>
      <w:r w:rsidR="002C34C8" w:rsidRPr="002E63B9">
        <w:rPr>
          <w:lang w:val="es-ES"/>
        </w:rPr>
        <w:tab/>
      </w:r>
    </w:p>
    <w:p w:rsidR="00CA23B4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br/>
        <w:t>2. Criterios económicos: imp</w:t>
      </w:r>
      <w:r w:rsidR="00380127" w:rsidRPr="002E63B9">
        <w:rPr>
          <w:lang w:val="es-ES"/>
        </w:rPr>
        <w:t>orte total de la licencia anual</w:t>
      </w:r>
      <w:r w:rsidRPr="002E63B9">
        <w:rPr>
          <w:lang w:val="es-ES"/>
        </w:rPr>
        <w:t>.</w:t>
      </w:r>
      <w:r w:rsidR="00CA23B4" w:rsidRPr="002E63B9">
        <w:rPr>
          <w:lang w:val="es-ES"/>
        </w:rPr>
        <w:t xml:space="preserve"> </w:t>
      </w:r>
    </w:p>
    <w:p w:rsidR="00CA23B4" w:rsidRPr="002E63B9" w:rsidRDefault="00CA23B4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Precio ofertado por </w:t>
      </w:r>
      <w:proofErr w:type="spellStart"/>
      <w:r w:rsidRPr="002E63B9">
        <w:rPr>
          <w:lang w:val="es-ES"/>
        </w:rPr>
        <w:t>Acuratio</w:t>
      </w:r>
      <w:proofErr w:type="spellEnd"/>
      <w:r w:rsidRPr="002E63B9">
        <w:rPr>
          <w:lang w:val="es-ES"/>
        </w:rPr>
        <w:t xml:space="preserve"> </w:t>
      </w:r>
      <w:proofErr w:type="spellStart"/>
      <w:r w:rsidRPr="002E63B9">
        <w:rPr>
          <w:lang w:val="es-ES"/>
        </w:rPr>
        <w:t>Europe</w:t>
      </w:r>
      <w:proofErr w:type="spellEnd"/>
      <w:r w:rsidRPr="002E63B9">
        <w:rPr>
          <w:lang w:val="es-ES"/>
        </w:rPr>
        <w:t xml:space="preserve"> SL.:</w:t>
      </w:r>
    </w:p>
    <w:p w:rsidR="00CA23B4" w:rsidRPr="002E63B9" w:rsidRDefault="00CA23B4" w:rsidP="006824A0">
      <w:pPr>
        <w:ind w:left="720"/>
        <w:jc w:val="both"/>
        <w:rPr>
          <w:lang w:val="es-ES"/>
        </w:rPr>
      </w:pPr>
      <w:r w:rsidRPr="002E63B9">
        <w:rPr>
          <w:lang w:val="es-ES"/>
        </w:rPr>
        <w:t xml:space="preserve">Base imponible: </w:t>
      </w:r>
      <w:r w:rsidRPr="002E63B9">
        <w:rPr>
          <w:lang w:val="es-ES"/>
        </w:rPr>
        <w:tab/>
        <w:t xml:space="preserve">            103.300,00 euros</w:t>
      </w:r>
    </w:p>
    <w:p w:rsidR="00CA23B4" w:rsidRPr="002E63B9" w:rsidRDefault="00CA23B4" w:rsidP="006824A0">
      <w:pPr>
        <w:jc w:val="both"/>
        <w:rPr>
          <w:lang w:val="es-ES"/>
        </w:rPr>
      </w:pPr>
      <w:r w:rsidRPr="002E63B9">
        <w:rPr>
          <w:lang w:val="es-ES"/>
        </w:rPr>
        <w:tab/>
        <w:t xml:space="preserve">Importe del I.V.A: </w:t>
      </w:r>
      <w:r w:rsidRPr="002E63B9">
        <w:rPr>
          <w:lang w:val="es-ES"/>
        </w:rPr>
        <w:tab/>
      </w:r>
      <w:proofErr w:type="gramStart"/>
      <w:r w:rsidRPr="002E63B9">
        <w:rPr>
          <w:lang w:val="es-ES"/>
        </w:rPr>
        <w:tab/>
        <w:t xml:space="preserve">  21.693</w:t>
      </w:r>
      <w:proofErr w:type="gramEnd"/>
      <w:r w:rsidRPr="002E63B9">
        <w:rPr>
          <w:lang w:val="es-ES"/>
        </w:rPr>
        <w:t>,00 euros</w:t>
      </w:r>
    </w:p>
    <w:p w:rsidR="00CA23B4" w:rsidRPr="002E63B9" w:rsidRDefault="00CA23B4" w:rsidP="006824A0">
      <w:pPr>
        <w:jc w:val="both"/>
        <w:rPr>
          <w:lang w:val="es-ES"/>
        </w:rPr>
      </w:pPr>
      <w:r w:rsidRPr="002E63B9">
        <w:rPr>
          <w:lang w:val="es-ES"/>
        </w:rPr>
        <w:tab/>
        <w:t xml:space="preserve">Importe total: </w:t>
      </w:r>
      <w:r w:rsidRPr="002E63B9">
        <w:rPr>
          <w:lang w:val="es-ES"/>
        </w:rPr>
        <w:tab/>
      </w:r>
      <w:r w:rsidRPr="002E63B9">
        <w:rPr>
          <w:lang w:val="es-ES"/>
        </w:rPr>
        <w:tab/>
        <w:t xml:space="preserve">            124.993,00</w:t>
      </w:r>
      <w:r w:rsidR="006824A0" w:rsidRPr="002E63B9">
        <w:rPr>
          <w:lang w:val="es-ES"/>
        </w:rPr>
        <w:t xml:space="preserve"> </w:t>
      </w:r>
      <w:r w:rsidRPr="002E63B9">
        <w:rPr>
          <w:lang w:val="es-ES"/>
        </w:rPr>
        <w:t>euros</w:t>
      </w:r>
    </w:p>
    <w:p w:rsidR="00CA23B4" w:rsidRPr="002E63B9" w:rsidRDefault="00CA23B4" w:rsidP="006824A0">
      <w:pPr>
        <w:jc w:val="both"/>
        <w:rPr>
          <w:lang w:val="es-ES"/>
        </w:rPr>
      </w:pPr>
      <w:r w:rsidRPr="002E63B9">
        <w:rPr>
          <w:lang w:val="es-ES"/>
        </w:rPr>
        <w:t>Precio unitario máximo establecido en los PCAP:</w:t>
      </w:r>
    </w:p>
    <w:p w:rsidR="002C34C8" w:rsidRPr="002E63B9" w:rsidRDefault="00582985" w:rsidP="006824A0">
      <w:pPr>
        <w:ind w:left="720"/>
        <w:jc w:val="both"/>
        <w:rPr>
          <w:lang w:val="es-ES"/>
        </w:rPr>
      </w:pPr>
      <w:r w:rsidRPr="002E63B9">
        <w:rPr>
          <w:lang w:val="es-ES"/>
        </w:rPr>
        <w:br/>
      </w:r>
      <w:r w:rsidR="002C34C8" w:rsidRPr="002E63B9">
        <w:rPr>
          <w:lang w:val="es-ES"/>
        </w:rPr>
        <w:t xml:space="preserve">Base imponible: </w:t>
      </w:r>
      <w:r w:rsidR="002C34C8" w:rsidRPr="002E63B9">
        <w:rPr>
          <w:lang w:val="es-ES"/>
        </w:rPr>
        <w:tab/>
        <w:t xml:space="preserve">            107.438,02 euros</w:t>
      </w:r>
    </w:p>
    <w:p w:rsidR="002C34C8" w:rsidRPr="002E63B9" w:rsidRDefault="002C34C8" w:rsidP="006824A0">
      <w:pPr>
        <w:jc w:val="both"/>
        <w:rPr>
          <w:lang w:val="es-ES"/>
        </w:rPr>
      </w:pPr>
      <w:r w:rsidRPr="002E63B9">
        <w:rPr>
          <w:lang w:val="es-ES"/>
        </w:rPr>
        <w:tab/>
        <w:t xml:space="preserve">Importe del I.V.A: </w:t>
      </w:r>
      <w:r w:rsidRPr="002E63B9">
        <w:rPr>
          <w:lang w:val="es-ES"/>
        </w:rPr>
        <w:tab/>
      </w:r>
      <w:proofErr w:type="gramStart"/>
      <w:r w:rsidRPr="002E63B9">
        <w:rPr>
          <w:lang w:val="es-ES"/>
        </w:rPr>
        <w:tab/>
        <w:t xml:space="preserve">  22.561</w:t>
      </w:r>
      <w:proofErr w:type="gramEnd"/>
      <w:r w:rsidRPr="002E63B9">
        <w:rPr>
          <w:lang w:val="es-ES"/>
        </w:rPr>
        <w:t>,98 euros</w:t>
      </w:r>
    </w:p>
    <w:p w:rsidR="002C34C8" w:rsidRPr="002E63B9" w:rsidRDefault="002C34C8" w:rsidP="006824A0">
      <w:pPr>
        <w:jc w:val="both"/>
        <w:rPr>
          <w:lang w:val="es-ES"/>
        </w:rPr>
      </w:pPr>
      <w:r w:rsidRPr="002E63B9">
        <w:rPr>
          <w:lang w:val="es-ES"/>
        </w:rPr>
        <w:tab/>
        <w:t xml:space="preserve">Importe total: </w:t>
      </w:r>
      <w:r w:rsidRPr="002E63B9">
        <w:rPr>
          <w:lang w:val="es-ES"/>
        </w:rPr>
        <w:tab/>
      </w:r>
      <w:r w:rsidRPr="002E63B9">
        <w:rPr>
          <w:lang w:val="es-ES"/>
        </w:rPr>
        <w:tab/>
        <w:t xml:space="preserve">            130.000,00 euros</w:t>
      </w:r>
    </w:p>
    <w:p w:rsidR="00380127" w:rsidRPr="002E63B9" w:rsidRDefault="00380127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El precio ofertado por </w:t>
      </w:r>
      <w:proofErr w:type="spellStart"/>
      <w:r w:rsidRPr="002E63B9">
        <w:rPr>
          <w:lang w:val="es-ES"/>
        </w:rPr>
        <w:t>Acuratio</w:t>
      </w:r>
      <w:proofErr w:type="spellEnd"/>
      <w:r w:rsidRPr="002E63B9">
        <w:rPr>
          <w:lang w:val="es-ES"/>
        </w:rPr>
        <w:t xml:space="preserve"> </w:t>
      </w:r>
      <w:proofErr w:type="spellStart"/>
      <w:r w:rsidRPr="002E63B9">
        <w:rPr>
          <w:lang w:val="es-ES"/>
        </w:rPr>
        <w:t>Europe</w:t>
      </w:r>
      <w:proofErr w:type="spellEnd"/>
      <w:r w:rsidRPr="002E63B9">
        <w:rPr>
          <w:lang w:val="es-ES"/>
        </w:rPr>
        <w:t xml:space="preserve"> SL. es un 3,85 % más bajo que el precio unitario máximo establecido en los PCAP.</w:t>
      </w:r>
    </w:p>
    <w:p w:rsidR="00CA23B4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br/>
        <w:t>Tras la revisión de la documentación, la oferta cumple plenamente todos los requisitos administrativos, técnicos y e</w:t>
      </w:r>
      <w:r w:rsidR="00CA23B4" w:rsidRPr="002E63B9">
        <w:rPr>
          <w:lang w:val="es-ES"/>
        </w:rPr>
        <w:t>c</w:t>
      </w:r>
      <w:r w:rsidR="00380127" w:rsidRPr="002E63B9">
        <w:rPr>
          <w:lang w:val="es-ES"/>
        </w:rPr>
        <w:t>onómicos exigidos en el pliego.</w:t>
      </w:r>
    </w:p>
    <w:p w:rsidR="000B27DE" w:rsidRPr="002E63B9" w:rsidRDefault="000B27DE" w:rsidP="006824A0">
      <w:pPr>
        <w:jc w:val="both"/>
        <w:rPr>
          <w:lang w:val="es-ES"/>
        </w:rPr>
      </w:pPr>
    </w:p>
    <w:p w:rsidR="000B27DE" w:rsidRPr="002E63B9" w:rsidRDefault="00582985" w:rsidP="006824A0">
      <w:pPr>
        <w:pStyle w:val="Ttulo2"/>
        <w:jc w:val="both"/>
        <w:rPr>
          <w:lang w:val="es-ES"/>
        </w:rPr>
      </w:pPr>
      <w:r w:rsidRPr="002E63B9">
        <w:rPr>
          <w:lang w:val="es-ES"/>
        </w:rPr>
        <w:t>4. Justificación de la adjudicación</w:t>
      </w:r>
    </w:p>
    <w:p w:rsidR="00582985" w:rsidRPr="002E63B9" w:rsidRDefault="00582985" w:rsidP="00582985">
      <w:pPr>
        <w:rPr>
          <w:lang w:val="es-ES"/>
        </w:rPr>
      </w:pPr>
      <w:r w:rsidRPr="002E63B9">
        <w:rPr>
          <w:lang w:val="es-ES"/>
        </w:rPr>
        <w:t>A pesar de haberse presentado una única oferta, esta resulta perfectamente válida y ajustada al pliego, garantizando:</w:t>
      </w:r>
    </w:p>
    <w:p w:rsidR="006824A0" w:rsidRPr="002E63B9" w:rsidRDefault="00582985" w:rsidP="00582985">
      <w:pPr>
        <w:pStyle w:val="Sinespaciado"/>
        <w:jc w:val="both"/>
        <w:rPr>
          <w:lang w:val="es-ES"/>
        </w:rPr>
      </w:pPr>
      <w:r w:rsidRPr="002E63B9">
        <w:rPr>
          <w:lang w:val="es-ES"/>
        </w:rPr>
        <w:br/>
        <w:t>- Cobertura de todas las funcionalida</w:t>
      </w:r>
      <w:r w:rsidR="006824A0" w:rsidRPr="002E63B9">
        <w:rPr>
          <w:lang w:val="es-ES"/>
        </w:rPr>
        <w:t>des requeridas para el Proyecto según los criterios de calidad técnica establecidos.</w:t>
      </w:r>
    </w:p>
    <w:p w:rsidR="006824A0" w:rsidRPr="002E63B9" w:rsidRDefault="006824A0" w:rsidP="00582985">
      <w:pPr>
        <w:pStyle w:val="Sinespaciado"/>
        <w:jc w:val="both"/>
        <w:rPr>
          <w:lang w:val="es-ES"/>
        </w:rPr>
      </w:pPr>
      <w:r w:rsidRPr="002E63B9">
        <w:rPr>
          <w:lang w:val="es-ES"/>
        </w:rPr>
        <w:t>-Cumplimiento de los requerimientos técnicos y la integración con conectores de espacio de datos</w:t>
      </w:r>
      <w:r w:rsidR="00582985" w:rsidRPr="002E63B9">
        <w:rPr>
          <w:lang w:val="es-ES"/>
        </w:rPr>
        <w:br/>
        <w:t>- Garantía de soporte técnico especializado durante la vigencia del contrato.</w:t>
      </w:r>
      <w:r w:rsidR="00582985" w:rsidRPr="002E63B9">
        <w:rPr>
          <w:lang w:val="es-ES"/>
        </w:rPr>
        <w:br/>
        <w:t>- Condiciones económicas adecuadas y proporcionadas al objeto del contrato.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br/>
        <w:t xml:space="preserve">Por tanto, y de conformidad con lo previsto en la normativa de contratación pública, se justifica la adjudicación del contrato a </w:t>
      </w:r>
      <w:proofErr w:type="spellStart"/>
      <w:r w:rsidR="006824A0" w:rsidRPr="002E63B9">
        <w:rPr>
          <w:lang w:val="es-ES"/>
        </w:rPr>
        <w:t>Acuratio</w:t>
      </w:r>
      <w:proofErr w:type="spellEnd"/>
      <w:r w:rsidR="006824A0" w:rsidRPr="002E63B9">
        <w:rPr>
          <w:lang w:val="es-ES"/>
        </w:rPr>
        <w:t xml:space="preserve"> </w:t>
      </w:r>
      <w:proofErr w:type="spellStart"/>
      <w:r w:rsidR="006824A0" w:rsidRPr="002E63B9">
        <w:rPr>
          <w:lang w:val="es-ES"/>
        </w:rPr>
        <w:t>Europe</w:t>
      </w:r>
      <w:proofErr w:type="spellEnd"/>
      <w:r w:rsidR="006824A0" w:rsidRPr="002E63B9">
        <w:rPr>
          <w:lang w:val="es-ES"/>
        </w:rPr>
        <w:t xml:space="preserve"> SL.</w:t>
      </w:r>
      <w:r w:rsidRPr="002E63B9">
        <w:rPr>
          <w:lang w:val="es-ES"/>
        </w:rPr>
        <w:t>, dado que su propuesta se ajusta a los principios de eficacia, eficiencia y buena gestión de los recursos públicos.</w:t>
      </w:r>
    </w:p>
    <w:p w:rsidR="000B27DE" w:rsidRPr="002E63B9" w:rsidRDefault="00582985" w:rsidP="006824A0">
      <w:pPr>
        <w:pStyle w:val="Ttulo2"/>
        <w:jc w:val="both"/>
        <w:rPr>
          <w:lang w:val="es-ES"/>
        </w:rPr>
      </w:pPr>
      <w:r w:rsidRPr="002E63B9">
        <w:rPr>
          <w:lang w:val="es-ES"/>
        </w:rPr>
        <w:t>5. Conclusión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En virtud de lo expuesto, se propone la adjudicación del contrato de suministro de la </w:t>
      </w:r>
      <w:r w:rsidR="006824A0" w:rsidRPr="002E63B9">
        <w:rPr>
          <w:lang w:val="es-ES"/>
        </w:rPr>
        <w:t xml:space="preserve">licencia, despliegue e integración de la plataforma de aprendizaje federado para el espacio de datos creado en el marco del proyecto SHARE: </w:t>
      </w:r>
      <w:proofErr w:type="spellStart"/>
      <w:r w:rsidR="006824A0" w:rsidRPr="002E63B9">
        <w:rPr>
          <w:lang w:val="es-ES"/>
        </w:rPr>
        <w:t>Spanish</w:t>
      </w:r>
      <w:proofErr w:type="spellEnd"/>
      <w:r w:rsidR="006824A0" w:rsidRPr="002E63B9">
        <w:rPr>
          <w:lang w:val="es-ES"/>
        </w:rPr>
        <w:t xml:space="preserve"> </w:t>
      </w:r>
      <w:proofErr w:type="spellStart"/>
      <w:r w:rsidR="006824A0" w:rsidRPr="002E63B9">
        <w:rPr>
          <w:lang w:val="es-ES"/>
        </w:rPr>
        <w:t>Cancer</w:t>
      </w:r>
      <w:proofErr w:type="spellEnd"/>
      <w:r w:rsidR="006824A0" w:rsidRPr="002E63B9">
        <w:rPr>
          <w:lang w:val="es-ES"/>
        </w:rPr>
        <w:t xml:space="preserve"> Data </w:t>
      </w:r>
      <w:proofErr w:type="spellStart"/>
      <w:r w:rsidR="006824A0" w:rsidRPr="002E63B9">
        <w:rPr>
          <w:lang w:val="es-ES"/>
        </w:rPr>
        <w:t>Space</w:t>
      </w:r>
      <w:proofErr w:type="spellEnd"/>
      <w:r w:rsidR="006824A0" w:rsidRPr="002E63B9">
        <w:rPr>
          <w:lang w:val="es-ES"/>
        </w:rPr>
        <w:t xml:space="preserve"> (TSI-100123-2024-3) </w:t>
      </w:r>
      <w:r w:rsidRPr="002E63B9">
        <w:rPr>
          <w:lang w:val="es-ES"/>
        </w:rPr>
        <w:t xml:space="preserve"> a </w:t>
      </w:r>
      <w:proofErr w:type="spellStart"/>
      <w:r w:rsidR="006824A0" w:rsidRPr="002E63B9">
        <w:rPr>
          <w:lang w:val="es-ES"/>
        </w:rPr>
        <w:t>Acuratio</w:t>
      </w:r>
      <w:proofErr w:type="spellEnd"/>
      <w:r w:rsidR="006824A0" w:rsidRPr="002E63B9">
        <w:rPr>
          <w:lang w:val="es-ES"/>
        </w:rPr>
        <w:t xml:space="preserve"> </w:t>
      </w:r>
      <w:proofErr w:type="spellStart"/>
      <w:r w:rsidR="006824A0" w:rsidRPr="002E63B9">
        <w:rPr>
          <w:lang w:val="es-ES"/>
        </w:rPr>
        <w:t>Europe</w:t>
      </w:r>
      <w:proofErr w:type="spellEnd"/>
      <w:r w:rsidR="006824A0" w:rsidRPr="002E63B9">
        <w:rPr>
          <w:lang w:val="es-ES"/>
        </w:rPr>
        <w:t xml:space="preserve"> SL.</w:t>
      </w:r>
      <w:r w:rsidRPr="002E63B9">
        <w:rPr>
          <w:lang w:val="es-ES"/>
        </w:rPr>
        <w:t xml:space="preserve">, por un importe de </w:t>
      </w:r>
      <w:r w:rsidR="006824A0" w:rsidRPr="002E63B9">
        <w:rPr>
          <w:lang w:val="es-ES"/>
        </w:rPr>
        <w:t xml:space="preserve">124.993,00 </w:t>
      </w:r>
      <w:r w:rsidRPr="002E63B9">
        <w:rPr>
          <w:lang w:val="es-ES"/>
        </w:rPr>
        <w:t xml:space="preserve"> € (IVA incluido), al haber presentado la única oferta recibida, la cual cumple en su totalidad los requisitos del PCAP y del procedimiento abierto simplificado con pluralidad de criterios.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br/>
      </w:r>
      <w:r w:rsidRPr="002E63B9">
        <w:rPr>
          <w:lang w:val="es-ES"/>
        </w:rPr>
        <w:br/>
        <w:t>Firmado:</w:t>
      </w:r>
    </w:p>
    <w:p w:rsidR="000B27DE" w:rsidRPr="002E63B9" w:rsidRDefault="002E63B9" w:rsidP="006824A0">
      <w:pPr>
        <w:jc w:val="both"/>
        <w:rPr>
          <w:lang w:val="es-ES"/>
        </w:rPr>
      </w:pPr>
      <w:r w:rsidRPr="002E63B9">
        <w:rPr>
          <w:lang w:val="es-ES"/>
        </w:rPr>
        <w:t xml:space="preserve">D. Julio García Pondal </w:t>
      </w:r>
    </w:p>
    <w:p w:rsidR="002E63B9" w:rsidRPr="002E63B9" w:rsidRDefault="002E63B9" w:rsidP="006824A0">
      <w:pPr>
        <w:jc w:val="both"/>
        <w:rPr>
          <w:lang w:val="es-ES"/>
        </w:rPr>
      </w:pPr>
      <w:r w:rsidRPr="002E63B9">
        <w:rPr>
          <w:lang w:val="es-ES"/>
        </w:rPr>
        <w:t>Presidente del Patronato.</w:t>
      </w:r>
    </w:p>
    <w:p w:rsidR="000B27DE" w:rsidRPr="002E63B9" w:rsidRDefault="00582985" w:rsidP="006824A0">
      <w:pPr>
        <w:jc w:val="both"/>
        <w:rPr>
          <w:lang w:val="es-ES"/>
        </w:rPr>
      </w:pPr>
      <w:r w:rsidRPr="002E63B9">
        <w:rPr>
          <w:lang w:val="es-ES"/>
        </w:rPr>
        <w:t>Fundación para la Investigación Biomédica del Hospital Universitario Puerta de Hierro Majadahonda</w:t>
      </w:r>
      <w:bookmarkStart w:id="0" w:name="_GoBack"/>
      <w:bookmarkEnd w:id="0"/>
    </w:p>
    <w:sectPr w:rsidR="000B27DE" w:rsidRPr="002E63B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A4BEA"/>
    <w:rsid w:val="000B27DE"/>
    <w:rsid w:val="0015074B"/>
    <w:rsid w:val="0029639D"/>
    <w:rsid w:val="002C34C8"/>
    <w:rsid w:val="002E63B9"/>
    <w:rsid w:val="00326F90"/>
    <w:rsid w:val="00380127"/>
    <w:rsid w:val="00582985"/>
    <w:rsid w:val="006824A0"/>
    <w:rsid w:val="00914135"/>
    <w:rsid w:val="00AA1D8D"/>
    <w:rsid w:val="00B47730"/>
    <w:rsid w:val="00CA23B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DF974"/>
  <w14:defaultImageDpi w14:val="300"/>
  <w15:docId w15:val="{AAB34032-F28A-492A-8956-5CE90610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7B9952-9F09-413A-8A05-CE1FA9D0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4157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Ugarte Colmenero.Alberto</cp:lastModifiedBy>
  <cp:revision>2</cp:revision>
  <dcterms:created xsi:type="dcterms:W3CDTF">2025-09-08T12:28:00Z</dcterms:created>
  <dcterms:modified xsi:type="dcterms:W3CDTF">2025-09-08T12:28:00Z</dcterms:modified>
  <cp:category/>
</cp:coreProperties>
</file>