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73BC2" w14:textId="6ECC9EEC" w:rsidR="00FF789A" w:rsidRPr="0050278B" w:rsidRDefault="00FF789A" w:rsidP="0036541E">
      <w:pPr>
        <w:pStyle w:val="Ttulo"/>
      </w:pPr>
      <w:r w:rsidRPr="0050278B">
        <w:t>PLIEGO DE PRESCRIPCIONES TÉCNICAS QUE HAN DE REGIR EN EL CONTRATO DE U</w:t>
      </w:r>
      <w:r w:rsidR="009F5AE5">
        <w:t xml:space="preserve">NA </w:t>
      </w:r>
      <w:bookmarkStart w:id="0" w:name="_Hlk204249427"/>
      <w:r w:rsidR="009F5AE5">
        <w:t>LICENCIA</w:t>
      </w:r>
      <w:r w:rsidRPr="0050278B">
        <w:t xml:space="preserve"> </w:t>
      </w:r>
      <w:r w:rsidR="000E63E2" w:rsidRPr="000E63E2">
        <w:t>ANUAL DE GOBERNANZA DE UNA PLATAFORMA PARA LA CREACIÓN DE UN ESPACIO DE DATOS DEDICADO A LA COMPARTICIÓN DE DATOS DE PACIENTES CON CÁNCER DE PULMÓN QUE PERMITA LA CREACIÓN DE MODELOS DE INTELIGENCIA ARTIFICIAL</w:t>
      </w:r>
      <w:r w:rsidR="00BA5262" w:rsidRPr="0050278B">
        <w:t xml:space="preserve"> </w:t>
      </w:r>
      <w:bookmarkEnd w:id="0"/>
      <w:r w:rsidRPr="0050278B">
        <w:t xml:space="preserve">EN EL MARCO DEL PROYECTO SHARE: SPANISH CANCER DATA SPACE </w:t>
      </w:r>
      <w:r w:rsidR="0033336D" w:rsidRPr="0050278B">
        <w:t>(TSI-100123-2024-3</w:t>
      </w:r>
      <w:r w:rsidR="0033336D" w:rsidRPr="0050278B">
        <w:rPr>
          <w:rStyle w:val="Refdenotaalpie"/>
          <w:vertAlign w:val="baseline"/>
        </w:rPr>
        <w:footnoteReference w:id="1"/>
      </w:r>
      <w:r w:rsidR="0033336D" w:rsidRPr="0050278B">
        <w:t xml:space="preserve">) </w:t>
      </w:r>
      <w:r w:rsidRPr="0050278B">
        <w:t xml:space="preserve">PARA LA </w:t>
      </w:r>
      <w:r w:rsidR="0033336D" w:rsidRPr="0050278B">
        <w:t xml:space="preserve">FUNDACIÓN PARA LA INVESTIGACIÓN BIOMÉDICA DEL HOSPITAL UNIVERSITARIO PUERTA DE HIERRO MAJADAHONDA </w:t>
      </w:r>
      <w:r w:rsidRPr="0050278B">
        <w:t xml:space="preserve"> </w:t>
      </w:r>
      <w:r w:rsidR="0033336D" w:rsidRPr="0050278B">
        <w:t xml:space="preserve">A ADJUDICAR POR PROCEDIMIENTO </w:t>
      </w:r>
      <w:r w:rsidR="00BA5262" w:rsidRPr="0050278B">
        <w:t>ABIERTO SIMPLIFICADO</w:t>
      </w:r>
    </w:p>
    <w:p w14:paraId="30DCE2A7" w14:textId="77777777" w:rsidR="005F19DA" w:rsidRPr="0050278B" w:rsidRDefault="005F19DA" w:rsidP="0036541E">
      <w:pPr>
        <w:rPr>
          <w:lang w:eastAsia="es-ES"/>
        </w:rPr>
      </w:pPr>
    </w:p>
    <w:p w14:paraId="7DC1D65D" w14:textId="77777777" w:rsidR="007839D0" w:rsidRPr="0050278B" w:rsidRDefault="007839D0" w:rsidP="0036541E">
      <w:pPr>
        <w:rPr>
          <w:lang w:eastAsia="es-ES"/>
        </w:rPr>
      </w:pPr>
    </w:p>
    <w:p w14:paraId="05CBC5C9" w14:textId="1049B3AF" w:rsidR="00763D34" w:rsidRPr="0050278B" w:rsidRDefault="00763D34" w:rsidP="0036541E">
      <w:pPr>
        <w:rPr>
          <w:lang w:eastAsia="es-ES"/>
        </w:rPr>
      </w:pPr>
      <w:r w:rsidRPr="0050278B">
        <w:rPr>
          <w:lang w:eastAsia="es-ES"/>
        </w:rPr>
        <w:br w:type="page"/>
      </w:r>
    </w:p>
    <w:p w14:paraId="5E5FB5F1" w14:textId="505C6872" w:rsidR="00FD7B8A" w:rsidRPr="0050278B" w:rsidRDefault="00FD7B8A" w:rsidP="007839D0">
      <w:pPr>
        <w:jc w:val="center"/>
        <w:rPr>
          <w:b/>
          <w:bCs/>
          <w:lang w:eastAsia="es-ES"/>
        </w:rPr>
      </w:pPr>
      <w:r w:rsidRPr="0050278B">
        <w:rPr>
          <w:b/>
          <w:bCs/>
          <w:lang w:eastAsia="es-ES"/>
        </w:rPr>
        <w:lastRenderedPageBreak/>
        <w:t>ÍNDICE</w:t>
      </w:r>
    </w:p>
    <w:sdt>
      <w:sdtPr>
        <w:rPr>
          <w:lang w:eastAsia="es-ES"/>
        </w:rPr>
        <w:id w:val="1010872473"/>
        <w:docPartObj>
          <w:docPartGallery w:val="Table of Contents"/>
          <w:docPartUnique/>
        </w:docPartObj>
      </w:sdtPr>
      <w:sdtEndPr/>
      <w:sdtContent>
        <w:p w14:paraId="18D3BF61" w14:textId="77777777" w:rsidR="00FD7B8A" w:rsidRPr="0050278B" w:rsidRDefault="00FD7B8A" w:rsidP="0036541E">
          <w:pPr>
            <w:rPr>
              <w:lang w:eastAsia="es-ES"/>
            </w:rPr>
          </w:pPr>
          <w:r w:rsidRPr="0050278B">
            <w:rPr>
              <w:lang w:eastAsia="es-ES"/>
            </w:rPr>
            <w:tab/>
          </w:r>
        </w:p>
        <w:p w14:paraId="4F0B2F8B" w14:textId="506E238C" w:rsidR="000C1ABE" w:rsidRDefault="00FD7B8A">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r w:rsidRPr="0050278B">
            <w:rPr>
              <w:rFonts w:eastAsia="Times New Roman"/>
              <w:lang w:eastAsia="es-ES"/>
            </w:rPr>
            <w:fldChar w:fldCharType="begin"/>
          </w:r>
          <w:r w:rsidRPr="0050278B">
            <w:rPr>
              <w:rFonts w:eastAsia="Times New Roman"/>
              <w:lang w:eastAsia="es-ES"/>
            </w:rPr>
            <w:instrText xml:space="preserve"> TOC \o "1-3" \h \z \u </w:instrText>
          </w:r>
          <w:r w:rsidRPr="0050278B">
            <w:rPr>
              <w:rFonts w:eastAsia="Times New Roman"/>
              <w:lang w:eastAsia="es-ES"/>
            </w:rPr>
            <w:fldChar w:fldCharType="separate"/>
          </w:r>
          <w:hyperlink w:anchor="_Toc204590588" w:history="1">
            <w:r w:rsidR="000C1ABE" w:rsidRPr="004462CE">
              <w:rPr>
                <w:rStyle w:val="Hipervnculo"/>
                <w:noProof/>
              </w:rPr>
              <w:t>1</w:t>
            </w:r>
            <w:r w:rsidR="000C1ABE">
              <w:rPr>
                <w:rFonts w:asciiTheme="minorHAnsi" w:eastAsiaTheme="minorEastAsia" w:hAnsiTheme="minorHAnsi" w:cstheme="minorBidi"/>
                <w:noProof/>
                <w:kern w:val="2"/>
                <w:lang w:eastAsia="es-ES"/>
                <w14:ligatures w14:val="standardContextual"/>
              </w:rPr>
              <w:tab/>
            </w:r>
            <w:r w:rsidR="000C1ABE" w:rsidRPr="004462CE">
              <w:rPr>
                <w:rStyle w:val="Hipervnculo"/>
                <w:noProof/>
              </w:rPr>
              <w:t>OBJETO Y FINALIDAD DEL CONTRATO</w:t>
            </w:r>
            <w:r w:rsidR="000C1ABE">
              <w:rPr>
                <w:noProof/>
                <w:webHidden/>
              </w:rPr>
              <w:tab/>
            </w:r>
            <w:r w:rsidR="000C1ABE">
              <w:rPr>
                <w:noProof/>
                <w:webHidden/>
              </w:rPr>
              <w:fldChar w:fldCharType="begin"/>
            </w:r>
            <w:r w:rsidR="000C1ABE">
              <w:rPr>
                <w:noProof/>
                <w:webHidden/>
              </w:rPr>
              <w:instrText xml:space="preserve"> PAGEREF _Toc204590588 \h </w:instrText>
            </w:r>
            <w:r w:rsidR="000C1ABE">
              <w:rPr>
                <w:noProof/>
                <w:webHidden/>
              </w:rPr>
            </w:r>
            <w:r w:rsidR="000C1ABE">
              <w:rPr>
                <w:noProof/>
                <w:webHidden/>
              </w:rPr>
              <w:fldChar w:fldCharType="separate"/>
            </w:r>
            <w:r w:rsidR="000C1ABE">
              <w:rPr>
                <w:noProof/>
                <w:webHidden/>
              </w:rPr>
              <w:t>3</w:t>
            </w:r>
            <w:r w:rsidR="000C1ABE">
              <w:rPr>
                <w:noProof/>
                <w:webHidden/>
              </w:rPr>
              <w:fldChar w:fldCharType="end"/>
            </w:r>
          </w:hyperlink>
        </w:p>
        <w:p w14:paraId="7B2BD94F" w14:textId="12C67AD6" w:rsidR="000C1ABE" w:rsidRDefault="004E2B27">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4590589" w:history="1">
            <w:r w:rsidR="000C1ABE" w:rsidRPr="004462CE">
              <w:rPr>
                <w:rStyle w:val="Hipervnculo"/>
                <w:noProof/>
              </w:rPr>
              <w:t>2</w:t>
            </w:r>
            <w:r w:rsidR="000C1ABE">
              <w:rPr>
                <w:rFonts w:asciiTheme="minorHAnsi" w:eastAsiaTheme="minorEastAsia" w:hAnsiTheme="minorHAnsi" w:cstheme="minorBidi"/>
                <w:noProof/>
                <w:kern w:val="2"/>
                <w:lang w:eastAsia="es-ES"/>
                <w14:ligatures w14:val="standardContextual"/>
              </w:rPr>
              <w:tab/>
            </w:r>
            <w:r w:rsidR="000C1ABE" w:rsidRPr="004462CE">
              <w:rPr>
                <w:rStyle w:val="Hipervnculo"/>
                <w:noProof/>
              </w:rPr>
              <w:t>LEGISLACIÓN</w:t>
            </w:r>
            <w:r w:rsidR="000C1ABE">
              <w:rPr>
                <w:noProof/>
                <w:webHidden/>
              </w:rPr>
              <w:tab/>
            </w:r>
            <w:r w:rsidR="000C1ABE">
              <w:rPr>
                <w:noProof/>
                <w:webHidden/>
              </w:rPr>
              <w:fldChar w:fldCharType="begin"/>
            </w:r>
            <w:r w:rsidR="000C1ABE">
              <w:rPr>
                <w:noProof/>
                <w:webHidden/>
              </w:rPr>
              <w:instrText xml:space="preserve"> PAGEREF _Toc204590589 \h </w:instrText>
            </w:r>
            <w:r w:rsidR="000C1ABE">
              <w:rPr>
                <w:noProof/>
                <w:webHidden/>
              </w:rPr>
            </w:r>
            <w:r w:rsidR="000C1ABE">
              <w:rPr>
                <w:noProof/>
                <w:webHidden/>
              </w:rPr>
              <w:fldChar w:fldCharType="separate"/>
            </w:r>
            <w:r w:rsidR="000C1ABE">
              <w:rPr>
                <w:noProof/>
                <w:webHidden/>
              </w:rPr>
              <w:t>4</w:t>
            </w:r>
            <w:r w:rsidR="000C1ABE">
              <w:rPr>
                <w:noProof/>
                <w:webHidden/>
              </w:rPr>
              <w:fldChar w:fldCharType="end"/>
            </w:r>
          </w:hyperlink>
        </w:p>
        <w:p w14:paraId="5C3CA887" w14:textId="6BBDCE2B" w:rsidR="000C1ABE" w:rsidRDefault="004E2B27">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4590590" w:history="1">
            <w:r w:rsidR="000C1ABE" w:rsidRPr="004462CE">
              <w:rPr>
                <w:rStyle w:val="Hipervnculo"/>
                <w:noProof/>
              </w:rPr>
              <w:t>3</w:t>
            </w:r>
            <w:r w:rsidR="000C1ABE">
              <w:rPr>
                <w:rFonts w:asciiTheme="minorHAnsi" w:eastAsiaTheme="minorEastAsia" w:hAnsiTheme="minorHAnsi" w:cstheme="minorBidi"/>
                <w:noProof/>
                <w:kern w:val="2"/>
                <w:lang w:eastAsia="es-ES"/>
                <w14:ligatures w14:val="standardContextual"/>
              </w:rPr>
              <w:tab/>
            </w:r>
            <w:r w:rsidR="000C1ABE" w:rsidRPr="004462CE">
              <w:rPr>
                <w:rStyle w:val="Hipervnculo"/>
                <w:noProof/>
              </w:rPr>
              <w:t>CARACTERÍSTICAS TÉCNICAS DEL PRODUCTO</w:t>
            </w:r>
            <w:r w:rsidR="000C1ABE">
              <w:rPr>
                <w:noProof/>
                <w:webHidden/>
              </w:rPr>
              <w:tab/>
            </w:r>
            <w:r w:rsidR="000C1ABE">
              <w:rPr>
                <w:noProof/>
                <w:webHidden/>
              </w:rPr>
              <w:fldChar w:fldCharType="begin"/>
            </w:r>
            <w:r w:rsidR="000C1ABE">
              <w:rPr>
                <w:noProof/>
                <w:webHidden/>
              </w:rPr>
              <w:instrText xml:space="preserve"> PAGEREF _Toc204590590 \h </w:instrText>
            </w:r>
            <w:r w:rsidR="000C1ABE">
              <w:rPr>
                <w:noProof/>
                <w:webHidden/>
              </w:rPr>
            </w:r>
            <w:r w:rsidR="000C1ABE">
              <w:rPr>
                <w:noProof/>
                <w:webHidden/>
              </w:rPr>
              <w:fldChar w:fldCharType="separate"/>
            </w:r>
            <w:r w:rsidR="000C1ABE">
              <w:rPr>
                <w:noProof/>
                <w:webHidden/>
              </w:rPr>
              <w:t>5</w:t>
            </w:r>
            <w:r w:rsidR="000C1ABE">
              <w:rPr>
                <w:noProof/>
                <w:webHidden/>
              </w:rPr>
              <w:fldChar w:fldCharType="end"/>
            </w:r>
          </w:hyperlink>
        </w:p>
        <w:p w14:paraId="1E1A3490" w14:textId="3CF7543B" w:rsidR="000C1ABE" w:rsidRDefault="004E2B2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90591" w:history="1">
            <w:r w:rsidR="000C1ABE" w:rsidRPr="004462CE">
              <w:rPr>
                <w:rStyle w:val="Hipervnculo"/>
                <w:noProof/>
              </w:rPr>
              <w:t>3.1.</w:t>
            </w:r>
            <w:r w:rsidR="000C1ABE">
              <w:rPr>
                <w:rFonts w:asciiTheme="minorHAnsi" w:eastAsiaTheme="minorEastAsia" w:hAnsiTheme="minorHAnsi" w:cstheme="minorBidi"/>
                <w:noProof/>
                <w:kern w:val="2"/>
                <w:lang w:eastAsia="es-ES"/>
                <w14:ligatures w14:val="standardContextual"/>
              </w:rPr>
              <w:tab/>
            </w:r>
            <w:r w:rsidR="000C1ABE" w:rsidRPr="004462CE">
              <w:rPr>
                <w:rStyle w:val="Hipervnculo"/>
                <w:noProof/>
              </w:rPr>
              <w:t>Características de la estructura de la aplicación</w:t>
            </w:r>
            <w:r w:rsidR="000C1ABE">
              <w:rPr>
                <w:noProof/>
                <w:webHidden/>
              </w:rPr>
              <w:tab/>
            </w:r>
            <w:r w:rsidR="000C1ABE">
              <w:rPr>
                <w:noProof/>
                <w:webHidden/>
              </w:rPr>
              <w:fldChar w:fldCharType="begin"/>
            </w:r>
            <w:r w:rsidR="000C1ABE">
              <w:rPr>
                <w:noProof/>
                <w:webHidden/>
              </w:rPr>
              <w:instrText xml:space="preserve"> PAGEREF _Toc204590591 \h </w:instrText>
            </w:r>
            <w:r w:rsidR="000C1ABE">
              <w:rPr>
                <w:noProof/>
                <w:webHidden/>
              </w:rPr>
            </w:r>
            <w:r w:rsidR="000C1ABE">
              <w:rPr>
                <w:noProof/>
                <w:webHidden/>
              </w:rPr>
              <w:fldChar w:fldCharType="separate"/>
            </w:r>
            <w:r w:rsidR="000C1ABE">
              <w:rPr>
                <w:noProof/>
                <w:webHidden/>
              </w:rPr>
              <w:t>5</w:t>
            </w:r>
            <w:r w:rsidR="000C1ABE">
              <w:rPr>
                <w:noProof/>
                <w:webHidden/>
              </w:rPr>
              <w:fldChar w:fldCharType="end"/>
            </w:r>
          </w:hyperlink>
        </w:p>
        <w:p w14:paraId="6E5F32E7" w14:textId="4C489D8D" w:rsidR="000C1ABE" w:rsidRDefault="004E2B2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90592" w:history="1">
            <w:r w:rsidR="000C1ABE" w:rsidRPr="004462CE">
              <w:rPr>
                <w:rStyle w:val="Hipervnculo"/>
                <w:noProof/>
              </w:rPr>
              <w:t>3.2.</w:t>
            </w:r>
            <w:r w:rsidR="000C1ABE">
              <w:rPr>
                <w:rFonts w:asciiTheme="minorHAnsi" w:eastAsiaTheme="minorEastAsia" w:hAnsiTheme="minorHAnsi" w:cstheme="minorBidi"/>
                <w:noProof/>
                <w:kern w:val="2"/>
                <w:lang w:eastAsia="es-ES"/>
                <w14:ligatures w14:val="standardContextual"/>
              </w:rPr>
              <w:tab/>
            </w:r>
            <w:r w:rsidR="000C1ABE" w:rsidRPr="004462CE">
              <w:rPr>
                <w:rStyle w:val="Hipervnculo"/>
                <w:noProof/>
              </w:rPr>
              <w:t>Funcionalidades</w:t>
            </w:r>
            <w:r w:rsidR="000C1ABE">
              <w:rPr>
                <w:noProof/>
                <w:webHidden/>
              </w:rPr>
              <w:tab/>
            </w:r>
            <w:r w:rsidR="000C1ABE">
              <w:rPr>
                <w:noProof/>
                <w:webHidden/>
              </w:rPr>
              <w:fldChar w:fldCharType="begin"/>
            </w:r>
            <w:r w:rsidR="000C1ABE">
              <w:rPr>
                <w:noProof/>
                <w:webHidden/>
              </w:rPr>
              <w:instrText xml:space="preserve"> PAGEREF _Toc204590592 \h </w:instrText>
            </w:r>
            <w:r w:rsidR="000C1ABE">
              <w:rPr>
                <w:noProof/>
                <w:webHidden/>
              </w:rPr>
            </w:r>
            <w:r w:rsidR="000C1ABE">
              <w:rPr>
                <w:noProof/>
                <w:webHidden/>
              </w:rPr>
              <w:fldChar w:fldCharType="separate"/>
            </w:r>
            <w:r w:rsidR="000C1ABE">
              <w:rPr>
                <w:noProof/>
                <w:webHidden/>
              </w:rPr>
              <w:t>6</w:t>
            </w:r>
            <w:r w:rsidR="000C1ABE">
              <w:rPr>
                <w:noProof/>
                <w:webHidden/>
              </w:rPr>
              <w:fldChar w:fldCharType="end"/>
            </w:r>
          </w:hyperlink>
        </w:p>
        <w:p w14:paraId="5530C9C5" w14:textId="2687209F" w:rsidR="000C1ABE" w:rsidRDefault="004E2B2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90593" w:history="1">
            <w:r w:rsidR="000C1ABE" w:rsidRPr="004462CE">
              <w:rPr>
                <w:rStyle w:val="Hipervnculo"/>
                <w:noProof/>
              </w:rPr>
              <w:t>3.3.</w:t>
            </w:r>
            <w:r w:rsidR="000C1ABE">
              <w:rPr>
                <w:rFonts w:asciiTheme="minorHAnsi" w:eastAsiaTheme="minorEastAsia" w:hAnsiTheme="minorHAnsi" w:cstheme="minorBidi"/>
                <w:noProof/>
                <w:kern w:val="2"/>
                <w:lang w:eastAsia="es-ES"/>
                <w14:ligatures w14:val="standardContextual"/>
              </w:rPr>
              <w:tab/>
            </w:r>
            <w:r w:rsidR="000C1ABE" w:rsidRPr="004462CE">
              <w:rPr>
                <w:rStyle w:val="Hipervnculo"/>
                <w:noProof/>
              </w:rPr>
              <w:t>Requerimientos técnicos</w:t>
            </w:r>
            <w:r w:rsidR="000C1ABE">
              <w:rPr>
                <w:noProof/>
                <w:webHidden/>
              </w:rPr>
              <w:tab/>
            </w:r>
            <w:r w:rsidR="000C1ABE">
              <w:rPr>
                <w:noProof/>
                <w:webHidden/>
              </w:rPr>
              <w:fldChar w:fldCharType="begin"/>
            </w:r>
            <w:r w:rsidR="000C1ABE">
              <w:rPr>
                <w:noProof/>
                <w:webHidden/>
              </w:rPr>
              <w:instrText xml:space="preserve"> PAGEREF _Toc204590593 \h </w:instrText>
            </w:r>
            <w:r w:rsidR="000C1ABE">
              <w:rPr>
                <w:noProof/>
                <w:webHidden/>
              </w:rPr>
            </w:r>
            <w:r w:rsidR="000C1ABE">
              <w:rPr>
                <w:noProof/>
                <w:webHidden/>
              </w:rPr>
              <w:fldChar w:fldCharType="separate"/>
            </w:r>
            <w:r w:rsidR="000C1ABE">
              <w:rPr>
                <w:noProof/>
                <w:webHidden/>
              </w:rPr>
              <w:t>6</w:t>
            </w:r>
            <w:r w:rsidR="000C1ABE">
              <w:rPr>
                <w:noProof/>
                <w:webHidden/>
              </w:rPr>
              <w:fldChar w:fldCharType="end"/>
            </w:r>
          </w:hyperlink>
        </w:p>
        <w:p w14:paraId="4BB95C2A" w14:textId="4BA920F2" w:rsidR="000C1ABE" w:rsidRDefault="004E2B2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90594" w:history="1">
            <w:r w:rsidR="000C1ABE" w:rsidRPr="004462CE">
              <w:rPr>
                <w:rStyle w:val="Hipervnculo"/>
                <w:noProof/>
              </w:rPr>
              <w:t>3.4.</w:t>
            </w:r>
            <w:r w:rsidR="000C1ABE">
              <w:rPr>
                <w:rFonts w:asciiTheme="minorHAnsi" w:eastAsiaTheme="minorEastAsia" w:hAnsiTheme="minorHAnsi" w:cstheme="minorBidi"/>
                <w:noProof/>
                <w:kern w:val="2"/>
                <w:lang w:eastAsia="es-ES"/>
                <w14:ligatures w14:val="standardContextual"/>
              </w:rPr>
              <w:tab/>
            </w:r>
            <w:r w:rsidR="000C1ABE" w:rsidRPr="004462CE">
              <w:rPr>
                <w:rStyle w:val="Hipervnculo"/>
                <w:noProof/>
              </w:rPr>
              <w:t>Otros requisitos</w:t>
            </w:r>
            <w:r w:rsidR="000C1ABE">
              <w:rPr>
                <w:noProof/>
                <w:webHidden/>
              </w:rPr>
              <w:tab/>
            </w:r>
            <w:r w:rsidR="000C1ABE">
              <w:rPr>
                <w:noProof/>
                <w:webHidden/>
              </w:rPr>
              <w:fldChar w:fldCharType="begin"/>
            </w:r>
            <w:r w:rsidR="000C1ABE">
              <w:rPr>
                <w:noProof/>
                <w:webHidden/>
              </w:rPr>
              <w:instrText xml:space="preserve"> PAGEREF _Toc204590594 \h </w:instrText>
            </w:r>
            <w:r w:rsidR="000C1ABE">
              <w:rPr>
                <w:noProof/>
                <w:webHidden/>
              </w:rPr>
            </w:r>
            <w:r w:rsidR="000C1ABE">
              <w:rPr>
                <w:noProof/>
                <w:webHidden/>
              </w:rPr>
              <w:fldChar w:fldCharType="separate"/>
            </w:r>
            <w:r w:rsidR="000C1ABE">
              <w:rPr>
                <w:noProof/>
                <w:webHidden/>
              </w:rPr>
              <w:t>7</w:t>
            </w:r>
            <w:r w:rsidR="000C1ABE">
              <w:rPr>
                <w:noProof/>
                <w:webHidden/>
              </w:rPr>
              <w:fldChar w:fldCharType="end"/>
            </w:r>
          </w:hyperlink>
        </w:p>
        <w:p w14:paraId="211189AE" w14:textId="6A466BF5" w:rsidR="000C1ABE" w:rsidRDefault="004E2B27">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4590595" w:history="1">
            <w:r w:rsidR="000C1ABE" w:rsidRPr="004462CE">
              <w:rPr>
                <w:rStyle w:val="Hipervnculo"/>
                <w:noProof/>
              </w:rPr>
              <w:t>4</w:t>
            </w:r>
            <w:r w:rsidR="000C1ABE">
              <w:rPr>
                <w:rFonts w:asciiTheme="minorHAnsi" w:eastAsiaTheme="minorEastAsia" w:hAnsiTheme="minorHAnsi" w:cstheme="minorBidi"/>
                <w:noProof/>
                <w:kern w:val="2"/>
                <w:lang w:eastAsia="es-ES"/>
                <w14:ligatures w14:val="standardContextual"/>
              </w:rPr>
              <w:tab/>
            </w:r>
            <w:r w:rsidR="000C1ABE" w:rsidRPr="004462CE">
              <w:rPr>
                <w:rStyle w:val="Hipervnculo"/>
                <w:noProof/>
              </w:rPr>
              <w:t>CONDICIONES Y PLAZOS DE ENTREGA</w:t>
            </w:r>
            <w:r w:rsidR="000C1ABE">
              <w:rPr>
                <w:noProof/>
                <w:webHidden/>
              </w:rPr>
              <w:tab/>
            </w:r>
            <w:r w:rsidR="000C1ABE">
              <w:rPr>
                <w:noProof/>
                <w:webHidden/>
              </w:rPr>
              <w:fldChar w:fldCharType="begin"/>
            </w:r>
            <w:r w:rsidR="000C1ABE">
              <w:rPr>
                <w:noProof/>
                <w:webHidden/>
              </w:rPr>
              <w:instrText xml:space="preserve"> PAGEREF _Toc204590595 \h </w:instrText>
            </w:r>
            <w:r w:rsidR="000C1ABE">
              <w:rPr>
                <w:noProof/>
                <w:webHidden/>
              </w:rPr>
            </w:r>
            <w:r w:rsidR="000C1ABE">
              <w:rPr>
                <w:noProof/>
                <w:webHidden/>
              </w:rPr>
              <w:fldChar w:fldCharType="separate"/>
            </w:r>
            <w:r w:rsidR="000C1ABE">
              <w:rPr>
                <w:noProof/>
                <w:webHidden/>
              </w:rPr>
              <w:t>7</w:t>
            </w:r>
            <w:r w:rsidR="000C1ABE">
              <w:rPr>
                <w:noProof/>
                <w:webHidden/>
              </w:rPr>
              <w:fldChar w:fldCharType="end"/>
            </w:r>
          </w:hyperlink>
        </w:p>
        <w:p w14:paraId="645E1D25" w14:textId="38DBAA8F" w:rsidR="00FD7B8A" w:rsidRPr="0050278B" w:rsidRDefault="00FD7B8A" w:rsidP="0036541E">
          <w:pPr>
            <w:rPr>
              <w:lang w:eastAsia="es-ES"/>
            </w:rPr>
          </w:pPr>
          <w:r w:rsidRPr="0050278B">
            <w:rPr>
              <w:lang w:eastAsia="es-ES"/>
            </w:rPr>
            <w:fldChar w:fldCharType="end"/>
          </w:r>
        </w:p>
      </w:sdtContent>
    </w:sdt>
    <w:p w14:paraId="0990EDAF" w14:textId="334CEFA0" w:rsidR="00FD1AF7" w:rsidRPr="0050278B" w:rsidRDefault="00FD1AF7" w:rsidP="0036541E">
      <w:pPr>
        <w:rPr>
          <w:lang w:eastAsia="es-ES"/>
        </w:rPr>
      </w:pPr>
      <w:r w:rsidRPr="0050278B">
        <w:rPr>
          <w:lang w:eastAsia="es-ES"/>
        </w:rPr>
        <w:br w:type="page"/>
      </w:r>
    </w:p>
    <w:p w14:paraId="1E5354CD" w14:textId="5B13726C" w:rsidR="00994110" w:rsidRPr="0050278B" w:rsidRDefault="00CD5BAA" w:rsidP="0036541E">
      <w:pPr>
        <w:rPr>
          <w:lang w:eastAsia="es-ES"/>
        </w:rPr>
      </w:pPr>
      <w:r w:rsidRPr="00CD5BAA">
        <w:rPr>
          <w:b/>
          <w:bCs/>
          <w:lang w:eastAsia="es-ES"/>
        </w:rPr>
        <w:lastRenderedPageBreak/>
        <w:t xml:space="preserve">PLIEGO DE PRESCRIPCIONES TÉCNICAS QUE HAN DE REGIR EN EL CONTRATO DE UN </w:t>
      </w:r>
      <w:r w:rsidR="009F5AE5" w:rsidRPr="009F5AE5">
        <w:rPr>
          <w:b/>
          <w:bCs/>
          <w:lang w:eastAsia="es-ES"/>
        </w:rPr>
        <w:t xml:space="preserve">LICENCIA ANUAL DE GOBERNANZA DE UNA PLATAFORMA PARA LA CREACIÓN DE UN ESPACIO DE DATOS DEDICADO A LA COMPARTICIÓN DE DATOS DE PACIENTES CON CÁNCER DE PULMÓN QUE PERMITA LA CREACIÓN DE MODELOS DE INTELIGENCIA ARTIFICIAL </w:t>
      </w:r>
      <w:r w:rsidRPr="00CD5BAA">
        <w:rPr>
          <w:b/>
          <w:bCs/>
          <w:lang w:eastAsia="es-ES"/>
        </w:rPr>
        <w:t>EN EL MARCO DEL PROYECTO SHARE: SPANISH CANCER DATA SPACE (TSI-100123-2024-3) PARA LA FUNDACIÓN PARA LA INVESTIGACIÓN BIOMÉDICA DEL HOSPITAL UNIVERSITARIO PUERTA DE HIERRO MAJADAHONDA  A ADJUDICAR POR PROCEDIMIENTO ABIERTO SIMPLIFICADO</w:t>
      </w:r>
    </w:p>
    <w:p w14:paraId="6BC99C2D" w14:textId="77777777" w:rsidR="007931F2" w:rsidRPr="0050278B" w:rsidRDefault="007931F2" w:rsidP="002F5908">
      <w:pPr>
        <w:pStyle w:val="Ttulo1"/>
        <w:rPr>
          <w:color w:val="auto"/>
        </w:rPr>
      </w:pPr>
      <w:bookmarkStart w:id="1" w:name="_Toc204590588"/>
      <w:r w:rsidRPr="0050278B">
        <w:rPr>
          <w:color w:val="auto"/>
        </w:rPr>
        <w:t>OBJETO Y FINALIDAD DEL CONTRATO</w:t>
      </w:r>
      <w:bookmarkEnd w:id="1"/>
    </w:p>
    <w:p w14:paraId="25BC8F5E" w14:textId="77777777" w:rsidR="0032446C" w:rsidRDefault="0032446C" w:rsidP="0032446C">
      <w:r>
        <w:t xml:space="preserve">El presente contrato tiene por objeto la adquisición, implantación, integración y soporte de la licencia corporativa de una Plataforma de Gobernanza de Datos, destinada a sustentar el Espacio de Datos SHARE en el marco del proyecto SHARE: </w:t>
      </w:r>
      <w:proofErr w:type="spellStart"/>
      <w:r>
        <w:t>Spanish</w:t>
      </w:r>
      <w:proofErr w:type="spellEnd"/>
      <w:r>
        <w:t xml:space="preserve"> </w:t>
      </w:r>
      <w:proofErr w:type="spellStart"/>
      <w:r>
        <w:t>Cancer</w:t>
      </w:r>
      <w:proofErr w:type="spellEnd"/>
      <w:r>
        <w:t xml:space="preserve"> Data </w:t>
      </w:r>
      <w:proofErr w:type="spellStart"/>
      <w:proofErr w:type="gramStart"/>
      <w:r>
        <w:t>Space</w:t>
      </w:r>
      <w:proofErr w:type="spellEnd"/>
      <w:proofErr w:type="gramEnd"/>
      <w:r>
        <w:t xml:space="preserve"> así como el soporte de incidencias y el servicio de mantenimiento de la licencia del primer año para la Fundación de Investigación Biomédica del Hospital Universitario Puerta de Hierro (en adelante, FIBHUPHM).</w:t>
      </w:r>
    </w:p>
    <w:p w14:paraId="4DD4C83D" w14:textId="77777777" w:rsidR="0032446C" w:rsidRDefault="0032446C" w:rsidP="0032446C">
      <w:r>
        <w:t>La totalidad de los requisitos y especificaciones previstas en este Pliego se entenderán, salvo cuando otra cosa se recoja expresamente, como de carácter esencial, a los efectos legalmente previstos.</w:t>
      </w:r>
    </w:p>
    <w:p w14:paraId="7712A3C0" w14:textId="77777777" w:rsidR="0032446C" w:rsidRDefault="0032446C" w:rsidP="0032446C">
      <w:r>
        <w:t>La licencia incluirá:</w:t>
      </w:r>
    </w:p>
    <w:p w14:paraId="2120E38E" w14:textId="77777777" w:rsidR="0032446C" w:rsidRDefault="0032446C" w:rsidP="004E2B27">
      <w:pPr>
        <w:pStyle w:val="Prrafodelista"/>
        <w:numPr>
          <w:ilvl w:val="0"/>
          <w:numId w:val="4"/>
        </w:numPr>
      </w:pPr>
      <w:r>
        <w:t xml:space="preserve">Licencia de uso de la plataforma en modalidad on-premise o nube privada certificada, habilitando catálogo, linaje, control de acceso, </w:t>
      </w:r>
      <w:proofErr w:type="spellStart"/>
      <w:r>
        <w:t>anonimización</w:t>
      </w:r>
      <w:proofErr w:type="spellEnd"/>
      <w:r>
        <w:t xml:space="preserve"> y calidad de datos.</w:t>
      </w:r>
    </w:p>
    <w:p w14:paraId="05C67A28" w14:textId="77777777" w:rsidR="0032446C" w:rsidRDefault="0032446C" w:rsidP="004E2B27">
      <w:pPr>
        <w:pStyle w:val="Prrafodelista"/>
        <w:numPr>
          <w:ilvl w:val="0"/>
          <w:numId w:val="4"/>
        </w:numPr>
      </w:pPr>
      <w:r>
        <w:t xml:space="preserve">Soporte por servicios de migración y consolidación de metadatos, políticas y </w:t>
      </w:r>
      <w:proofErr w:type="spellStart"/>
      <w:r>
        <w:t>datasets</w:t>
      </w:r>
      <w:proofErr w:type="spellEnd"/>
      <w:r>
        <w:t xml:space="preserve"> procedentes.</w:t>
      </w:r>
    </w:p>
    <w:p w14:paraId="2A491385" w14:textId="77777777" w:rsidR="0032446C" w:rsidRDefault="0032446C" w:rsidP="004E2B27">
      <w:pPr>
        <w:pStyle w:val="Prrafodelista"/>
        <w:numPr>
          <w:ilvl w:val="0"/>
          <w:numId w:val="4"/>
        </w:numPr>
      </w:pPr>
      <w:r>
        <w:t>Servicios de integración mediante conectores Trino, Kafka, FHIR, OMOP y EDC/Gaia-X.</w:t>
      </w:r>
    </w:p>
    <w:p w14:paraId="507E97A1" w14:textId="77777777" w:rsidR="0032446C" w:rsidRDefault="0032446C" w:rsidP="004E2B27">
      <w:pPr>
        <w:pStyle w:val="Prrafodelista"/>
        <w:numPr>
          <w:ilvl w:val="0"/>
          <w:numId w:val="4"/>
        </w:numPr>
      </w:pPr>
      <w:r>
        <w:t xml:space="preserve">Servicios de formación especializada para administradores, data </w:t>
      </w:r>
      <w:proofErr w:type="spellStart"/>
      <w:r>
        <w:t>stewards</w:t>
      </w:r>
      <w:proofErr w:type="spellEnd"/>
      <w:r>
        <w:t xml:space="preserve"> e investigadores, incluyendo sesiones presenciales y acceso a contenido e-learning.</w:t>
      </w:r>
    </w:p>
    <w:p w14:paraId="238BCBD0" w14:textId="77777777" w:rsidR="0032446C" w:rsidRDefault="0032446C" w:rsidP="004E2B27">
      <w:pPr>
        <w:pStyle w:val="Prrafodelista"/>
        <w:numPr>
          <w:ilvl w:val="0"/>
          <w:numId w:val="4"/>
        </w:numPr>
      </w:pPr>
      <w:r>
        <w:t>Servicios de mantenimiento y soporte correctivo, adaptativo y evolutivo durante un (1) año, con SLA 8×5 ampliable a 24×7.</w:t>
      </w:r>
    </w:p>
    <w:p w14:paraId="4516B99D" w14:textId="77777777" w:rsidR="0032446C" w:rsidRDefault="0032446C" w:rsidP="0032446C">
      <w:r>
        <w:t>La plataforma deberá cumplir, al menos, las siguientes finalidades:</w:t>
      </w:r>
    </w:p>
    <w:p w14:paraId="13DB87B7" w14:textId="0CA40896" w:rsidR="0032446C" w:rsidRDefault="0032446C" w:rsidP="004E2B27">
      <w:pPr>
        <w:pStyle w:val="Prrafodelista"/>
        <w:numPr>
          <w:ilvl w:val="0"/>
          <w:numId w:val="5"/>
        </w:numPr>
      </w:pPr>
      <w:r>
        <w:t xml:space="preserve">Soporte por datos clínicos, </w:t>
      </w:r>
      <w:proofErr w:type="spellStart"/>
      <w:r>
        <w:t>ómicos</w:t>
      </w:r>
      <w:proofErr w:type="spellEnd"/>
      <w:r>
        <w:t xml:space="preserve"> y de imagen, preservando la trazabilidad entre orígenes, transformaciones y consumos analíticos. </w:t>
      </w:r>
    </w:p>
    <w:p w14:paraId="67F23C7D" w14:textId="2CA1D08E" w:rsidR="0032446C" w:rsidRDefault="0032446C" w:rsidP="004E2B27">
      <w:pPr>
        <w:pStyle w:val="Prrafodelista"/>
        <w:numPr>
          <w:ilvl w:val="0"/>
          <w:numId w:val="5"/>
        </w:numPr>
      </w:pPr>
      <w:r>
        <w:t xml:space="preserve">Proporcionar mecanismos de soberanía, privacidad y seguridad conformes con RGPD, EHDS y la legislación sanitaria vigente. </w:t>
      </w:r>
    </w:p>
    <w:p w14:paraId="53076C6A" w14:textId="35B57A6C" w:rsidR="0032446C" w:rsidRDefault="0032446C" w:rsidP="004E2B27">
      <w:pPr>
        <w:pStyle w:val="Prrafodelista"/>
        <w:numPr>
          <w:ilvl w:val="0"/>
          <w:numId w:val="5"/>
        </w:numPr>
      </w:pPr>
      <w:r>
        <w:lastRenderedPageBreak/>
        <w:t xml:space="preserve">Facilitar la interoperabilidad semántica y técnica con otros espacios de datos europeos mediante estándares abiertos (DCAT-AP, ODRL, IDS/EDC, FHIR, OMOP CDM). </w:t>
      </w:r>
    </w:p>
    <w:p w14:paraId="5ED6F2A7" w14:textId="6EA66EE9" w:rsidR="0032446C" w:rsidRDefault="0032446C" w:rsidP="004E2B27">
      <w:pPr>
        <w:pStyle w:val="Prrafodelista"/>
        <w:numPr>
          <w:ilvl w:val="0"/>
          <w:numId w:val="5"/>
        </w:numPr>
      </w:pPr>
      <w:r>
        <w:t xml:space="preserve">Habilitar procesos auditables de calidad, </w:t>
      </w:r>
      <w:proofErr w:type="spellStart"/>
      <w:r>
        <w:t>anonimización</w:t>
      </w:r>
      <w:proofErr w:type="spellEnd"/>
      <w:r>
        <w:t xml:space="preserve"> y publicación de </w:t>
      </w:r>
      <w:proofErr w:type="spellStart"/>
      <w:r>
        <w:t>datasets</w:t>
      </w:r>
      <w:proofErr w:type="spellEnd"/>
      <w:r>
        <w:t xml:space="preserve"> para investigación clínica y traslacional. </w:t>
      </w:r>
    </w:p>
    <w:p w14:paraId="7727C9D4" w14:textId="688D2983" w:rsidR="0032446C" w:rsidRDefault="0032446C" w:rsidP="004E2B27">
      <w:pPr>
        <w:pStyle w:val="Prrafodelista"/>
        <w:numPr>
          <w:ilvl w:val="0"/>
          <w:numId w:val="5"/>
        </w:numPr>
      </w:pPr>
      <w:r>
        <w:t>Ofrecer un tablero unificado de gobierno y cumplimiento que permita supervisar en tiempo real la actividad, los riesgos y los indicadores clave.</w:t>
      </w:r>
    </w:p>
    <w:p w14:paraId="4C76D010" w14:textId="77777777" w:rsidR="0032446C" w:rsidRDefault="0032446C" w:rsidP="0032446C">
      <w:r>
        <w:t>Salvo indicación expresa en contrario, todas las especificaciones recogidas en este pliego se consideran requisitos esenciales a efectos de la Ley de Contratos del Sector Público.</w:t>
      </w:r>
    </w:p>
    <w:p w14:paraId="61F1E289" w14:textId="77777777" w:rsidR="007931F2" w:rsidRPr="0050278B" w:rsidRDefault="007931F2" w:rsidP="0036541E"/>
    <w:p w14:paraId="178C8C78" w14:textId="77777777" w:rsidR="007931F2" w:rsidRPr="0050278B" w:rsidRDefault="007931F2" w:rsidP="002F5908">
      <w:pPr>
        <w:pStyle w:val="Ttulo1"/>
        <w:rPr>
          <w:color w:val="auto"/>
        </w:rPr>
      </w:pPr>
      <w:bookmarkStart w:id="2" w:name="_ieo663f8pfi4" w:colFirst="0" w:colLast="0"/>
      <w:bookmarkStart w:id="3" w:name="_Toc204590589"/>
      <w:bookmarkEnd w:id="2"/>
      <w:r w:rsidRPr="0050278B">
        <w:rPr>
          <w:color w:val="auto"/>
        </w:rPr>
        <w:t>LEGISLACIÓN</w:t>
      </w:r>
      <w:bookmarkEnd w:id="3"/>
    </w:p>
    <w:p w14:paraId="340BECAD" w14:textId="77777777" w:rsidR="005C14D7" w:rsidRPr="0050278B" w:rsidRDefault="005C14D7" w:rsidP="005C14D7">
      <w:r w:rsidRPr="0050278B">
        <w:t>Todos los productos presentados a este procedimiento, deberán cumplir la legislación vigente que sea de aplicación, incluyendo:</w:t>
      </w:r>
    </w:p>
    <w:p w14:paraId="48837A85" w14:textId="1D7B6F92" w:rsidR="005C14D7" w:rsidRPr="0050278B" w:rsidRDefault="005C14D7" w:rsidP="004E2B27">
      <w:pPr>
        <w:pStyle w:val="Prrafodelista"/>
        <w:numPr>
          <w:ilvl w:val="0"/>
          <w:numId w:val="3"/>
        </w:numPr>
      </w:pPr>
      <w:r w:rsidRPr="0050278B">
        <w:t>El Reglamento (UE) 2022/868, del Parlamento Europeo y del Consejo, de 30 de mayo de 2022, relativo a la Gobernanza Europea de los Datos (Reglamento Europeo de Gobernanza de Datos)</w:t>
      </w:r>
    </w:p>
    <w:p w14:paraId="770019B4" w14:textId="364F2203" w:rsidR="005C14D7" w:rsidRPr="0050278B" w:rsidRDefault="005C14D7" w:rsidP="004E2B27">
      <w:pPr>
        <w:pStyle w:val="Prrafodelista"/>
        <w:numPr>
          <w:ilvl w:val="0"/>
          <w:numId w:val="3"/>
        </w:numPr>
      </w:pPr>
      <w:r w:rsidRPr="0050278B">
        <w:t xml:space="preserve">Las disposiciones específicas relativas a la protección de datos y los espacios de compartición de datos en el marco de la Estrategia Europea del Dato </w:t>
      </w:r>
    </w:p>
    <w:p w14:paraId="59E702FA" w14:textId="7FFCB6C4" w:rsidR="005C14D7" w:rsidRPr="0050278B" w:rsidRDefault="005C14D7" w:rsidP="004E2B27">
      <w:pPr>
        <w:pStyle w:val="Prrafodelista"/>
        <w:numPr>
          <w:ilvl w:val="0"/>
          <w:numId w:val="3"/>
        </w:numPr>
      </w:pPr>
      <w:r w:rsidRPr="0050278B">
        <w:t xml:space="preserve">Respetar la normativa medioambiental aplicable (Principio de no causar un perjuicio significativo al medioambiente o «Do No Significant Harm» –DNSH–), de acuerdo a lo establecido en el Reglamento (UE) número 2020/852, del Parlamento Europeo y del Consejo, de 18 de junio de 2020, </w:t>
      </w:r>
    </w:p>
    <w:p w14:paraId="0E6A22F0" w14:textId="0E1E94F5" w:rsidR="005C14D7" w:rsidRPr="0050278B" w:rsidRDefault="005C14D7" w:rsidP="004E2B27">
      <w:pPr>
        <w:pStyle w:val="Prrafodelista"/>
        <w:numPr>
          <w:ilvl w:val="0"/>
          <w:numId w:val="3"/>
        </w:numPr>
      </w:pPr>
      <w:r w:rsidRPr="0050278B">
        <w:t>Reglamento (UE) 2016/679, del Parlamento Europeo y del Consejo, de 27 de abril de 2016, relativo a la protección de las personas físicas en lo que respecta al tratamiento de datos personales y a la libre circulación de estos datos, junto a la Ley Orgánica 3/2018, de 5 de diciembre, de Protección de Datos Personales y garantía de los derechos digitales.</w:t>
      </w:r>
    </w:p>
    <w:p w14:paraId="18CB1D2B" w14:textId="551BBFBC" w:rsidR="005C14D7" w:rsidRPr="0050278B" w:rsidRDefault="005C14D7" w:rsidP="004E2B27">
      <w:pPr>
        <w:pStyle w:val="Prrafodelista"/>
        <w:numPr>
          <w:ilvl w:val="0"/>
          <w:numId w:val="3"/>
        </w:numPr>
      </w:pPr>
      <w:r w:rsidRPr="0050278B">
        <w:t>Reglamento (UE) 2021/694, del Parlamento Europeo y del Consejo, de 29 de abril de 2021, por el que se establece el Programa Europa Digital 0.</w:t>
      </w:r>
    </w:p>
    <w:p w14:paraId="432AB524" w14:textId="4F22E73C" w:rsidR="005C14D7" w:rsidRPr="0050278B" w:rsidRDefault="005C14D7" w:rsidP="004E2B27">
      <w:pPr>
        <w:pStyle w:val="Prrafodelista"/>
        <w:numPr>
          <w:ilvl w:val="0"/>
          <w:numId w:val="3"/>
        </w:numPr>
      </w:pPr>
      <w:r w:rsidRPr="0050278B">
        <w:t>Real Decreto 1494/2007, de 12 de noviembre, por el que se aprueba el Reglamento sobre las condiciones básicas para el acceso de las personas con discapacidad a las tecnologías, productos y servicios relacionados con la Sociedad de la Información y medios de comunicación social.</w:t>
      </w:r>
    </w:p>
    <w:p w14:paraId="5873FA99" w14:textId="77777777" w:rsidR="005C14D7" w:rsidRPr="0050278B" w:rsidRDefault="005C14D7" w:rsidP="005C14D7">
      <w:r w:rsidRPr="0050278B">
        <w:t xml:space="preserve">El contratista deberá respetar el carácter confidencia de aquella información a la que tenga acceso con ocasión de la ejecución del contrato a la que se le hubiese dado el referido carácter en los pliegos o en el contrato, o que por su propia naturaleza deba ser tratada como tal, quedando el contratista sometido a la normativa nacional y europea en materia de protección de datos, siendo ésta, a su vez, una obligación contractual esencial (211.1.f LCSP). </w:t>
      </w:r>
    </w:p>
    <w:p w14:paraId="74619539" w14:textId="77777777" w:rsidR="005C14D7" w:rsidRPr="0050278B" w:rsidRDefault="005C14D7" w:rsidP="005C14D7">
      <w:r w:rsidRPr="0050278B">
        <w:lastRenderedPageBreak/>
        <w:t xml:space="preserve">La licencia deberá estar conforme y actualizada en el momento en el que se realice su suministro y </w:t>
      </w:r>
      <w:r w:rsidRPr="0050278B">
        <w:rPr>
          <w:b/>
          <w:bCs/>
        </w:rPr>
        <w:t>ser compatibles con los estándares de interoperabilidad establecidos por los espacios de datos europeos</w:t>
      </w:r>
      <w:r w:rsidRPr="0050278B">
        <w:t>.</w:t>
      </w:r>
    </w:p>
    <w:p w14:paraId="3B584C34" w14:textId="77777777" w:rsidR="007931F2" w:rsidRPr="0050278B" w:rsidRDefault="007931F2" w:rsidP="0036541E"/>
    <w:p w14:paraId="45703D48" w14:textId="77777777" w:rsidR="007931F2" w:rsidRPr="0050278B" w:rsidRDefault="007931F2" w:rsidP="002F5908">
      <w:pPr>
        <w:pStyle w:val="Ttulo1"/>
        <w:rPr>
          <w:color w:val="auto"/>
        </w:rPr>
      </w:pPr>
      <w:bookmarkStart w:id="4" w:name="_fa3ueeoh4o1t" w:colFirst="0" w:colLast="0"/>
      <w:bookmarkStart w:id="5" w:name="_Toc204590590"/>
      <w:bookmarkEnd w:id="4"/>
      <w:r w:rsidRPr="0050278B">
        <w:rPr>
          <w:color w:val="auto"/>
        </w:rPr>
        <w:t>CARACTERÍSTICAS TÉCNICAS DEL PRODUCTO</w:t>
      </w:r>
      <w:bookmarkEnd w:id="5"/>
    </w:p>
    <w:p w14:paraId="24695693" w14:textId="17D9E589" w:rsidR="00173143" w:rsidRPr="0050278B" w:rsidRDefault="001F0BAC" w:rsidP="009E6B38">
      <w:r w:rsidRPr="001F0BAC">
        <w:t>Para cubrir estas necesidades la licencia/s debe contar con una serie de características que han sido identificadas basándose en la propuesta del proyecto SHARE aprobada por el Ministerio de Transformación Digital y de la Función Pública y en la experiencia de la FIBHUPHM en la ejecución de proyectos de investigación.</w:t>
      </w:r>
    </w:p>
    <w:p w14:paraId="6A5B2DFF" w14:textId="1D476F9F" w:rsidR="007931F2" w:rsidRPr="0050278B" w:rsidRDefault="007931F2" w:rsidP="002F5908">
      <w:pPr>
        <w:pStyle w:val="Ttulo2"/>
      </w:pPr>
      <w:bookmarkStart w:id="6" w:name="_Toc204590591"/>
      <w:r w:rsidRPr="0050278B">
        <w:t>Características de la estructura de la aplicación</w:t>
      </w:r>
      <w:bookmarkEnd w:id="6"/>
      <w:r w:rsidRPr="0050278B">
        <w:t xml:space="preserve"> </w:t>
      </w:r>
    </w:p>
    <w:p w14:paraId="00E6BA31" w14:textId="77777777" w:rsidR="00654FF0" w:rsidRPr="0050278B" w:rsidRDefault="00654FF0" w:rsidP="00654FF0">
      <w:r w:rsidRPr="0050278B">
        <w:t>La aplicación informática deberá contar con las siguientes características:</w:t>
      </w:r>
    </w:p>
    <w:p w14:paraId="407BFDAC" w14:textId="77777777" w:rsidR="009D46FF" w:rsidRPr="009D46FF" w:rsidRDefault="009D46FF" w:rsidP="004E2B27">
      <w:pPr>
        <w:pStyle w:val="Prrafodelista"/>
        <w:numPr>
          <w:ilvl w:val="0"/>
          <w:numId w:val="6"/>
        </w:numPr>
        <w:spacing w:before="0"/>
        <w:rPr>
          <w:rFonts w:eastAsia="Calibri"/>
        </w:rPr>
      </w:pPr>
      <w:r w:rsidRPr="009D46FF">
        <w:rPr>
          <w:rFonts w:eastAsia="Calibri"/>
        </w:rPr>
        <w:t>Tipo de licenciamiento. La solución debe ofrecerse en una forma de licencia vitalicia para un número mínimo de 4 usuarios y un número ilimitado de colecciones.</w:t>
      </w:r>
    </w:p>
    <w:p w14:paraId="1F2FA76B" w14:textId="77777777" w:rsidR="009D46FF" w:rsidRPr="009D46FF" w:rsidRDefault="009D46FF" w:rsidP="004E2B27">
      <w:pPr>
        <w:pStyle w:val="Prrafodelista"/>
        <w:numPr>
          <w:ilvl w:val="0"/>
          <w:numId w:val="6"/>
        </w:numPr>
        <w:spacing w:before="0"/>
        <w:rPr>
          <w:rFonts w:eastAsia="Calibri"/>
        </w:rPr>
      </w:pPr>
      <w:r w:rsidRPr="009D46FF">
        <w:rPr>
          <w:rFonts w:eastAsia="Calibri"/>
        </w:rPr>
        <w:t>Estabilidad y coherencia de la base de datos. La integridad de la base de datos debe ser el primer objetivo de su diseño.</w:t>
      </w:r>
    </w:p>
    <w:p w14:paraId="7C838EDD" w14:textId="5663735F" w:rsidR="009D46FF" w:rsidRPr="009D46FF" w:rsidRDefault="009D46FF" w:rsidP="004E2B27">
      <w:pPr>
        <w:pStyle w:val="Prrafodelista"/>
        <w:numPr>
          <w:ilvl w:val="0"/>
          <w:numId w:val="6"/>
        </w:numPr>
        <w:spacing w:before="0"/>
        <w:rPr>
          <w:rFonts w:eastAsia="Calibri"/>
        </w:rPr>
      </w:pPr>
      <w:r w:rsidRPr="009D46FF">
        <w:rPr>
          <w:rFonts w:eastAsia="Calibri"/>
        </w:rPr>
        <w:t>Software estándar. La empresa adjudicataria deberá proponer una solución basada en una solución informática que se encuentre actualmente en su cartera de productos, que debe encontrarse en explotación en entornos de producción en entornos públicos y privado</w:t>
      </w:r>
      <w:r w:rsidR="004E2B27">
        <w:rPr>
          <w:rFonts w:eastAsia="Calibri"/>
        </w:rPr>
        <w:t>s nacionales e internacionales.</w:t>
      </w:r>
      <w:bookmarkStart w:id="7" w:name="_GoBack"/>
      <w:bookmarkEnd w:id="7"/>
    </w:p>
    <w:p w14:paraId="25DFE5D5" w14:textId="77777777" w:rsidR="009D46FF" w:rsidRPr="009D46FF" w:rsidRDefault="009D46FF" w:rsidP="004E2B27">
      <w:pPr>
        <w:pStyle w:val="Prrafodelista"/>
        <w:numPr>
          <w:ilvl w:val="0"/>
          <w:numId w:val="6"/>
        </w:numPr>
        <w:spacing w:before="0"/>
        <w:rPr>
          <w:rFonts w:eastAsia="Calibri"/>
        </w:rPr>
      </w:pPr>
      <w:r w:rsidRPr="009D46FF">
        <w:rPr>
          <w:rFonts w:eastAsia="Calibri"/>
        </w:rPr>
        <w:t>Sistema. El sistema deberá trabajar con diferentes bases de datos SQL y también no-SQL. La aplicación deberá ser web accediendo a la misma a través de los principales navegadores del mercado como Firefox, Chrome, Opera, Safari o Edge.</w:t>
      </w:r>
    </w:p>
    <w:p w14:paraId="005657D8" w14:textId="77777777" w:rsidR="009D46FF" w:rsidRPr="009D46FF" w:rsidRDefault="009D46FF" w:rsidP="004E2B27">
      <w:pPr>
        <w:pStyle w:val="Prrafodelista"/>
        <w:numPr>
          <w:ilvl w:val="0"/>
          <w:numId w:val="6"/>
        </w:numPr>
        <w:spacing w:before="0"/>
        <w:rPr>
          <w:rFonts w:eastAsia="Calibri"/>
        </w:rPr>
      </w:pPr>
      <w:r w:rsidRPr="009D46FF">
        <w:rPr>
          <w:rFonts w:eastAsia="Calibri"/>
        </w:rPr>
        <w:t>Rendimiento. El sistema debe reducir al mínimo el tiempo que se tarda en realizar una operación.</w:t>
      </w:r>
    </w:p>
    <w:p w14:paraId="14A30288" w14:textId="77777777" w:rsidR="009D46FF" w:rsidRPr="009D46FF" w:rsidRDefault="009D46FF" w:rsidP="004E2B27">
      <w:pPr>
        <w:pStyle w:val="Prrafodelista"/>
        <w:numPr>
          <w:ilvl w:val="0"/>
          <w:numId w:val="6"/>
        </w:numPr>
        <w:spacing w:before="0"/>
        <w:rPr>
          <w:rFonts w:eastAsia="Calibri"/>
        </w:rPr>
      </w:pPr>
      <w:r w:rsidRPr="009D46FF">
        <w:rPr>
          <w:rFonts w:eastAsia="Calibri"/>
        </w:rPr>
        <w:t>Adaptabilidad y escalabilidad. La aplicación debe de poder adaptarse en el tiempo a las necesidades cambiantes del centro, como por ejemplo nuevas colecciones de muestras, nuevos formularios de recogida de datos, modificaciones en formularios ya existentes, nuevos procesos, nuevos sistemas de almacenamiento, etc.</w:t>
      </w:r>
    </w:p>
    <w:p w14:paraId="6C222CF5" w14:textId="77777777" w:rsidR="009D46FF" w:rsidRPr="009D46FF" w:rsidRDefault="009D46FF" w:rsidP="004E2B27">
      <w:pPr>
        <w:pStyle w:val="Prrafodelista"/>
        <w:numPr>
          <w:ilvl w:val="0"/>
          <w:numId w:val="6"/>
        </w:numPr>
        <w:spacing w:before="0"/>
        <w:rPr>
          <w:rFonts w:eastAsia="Calibri"/>
        </w:rPr>
      </w:pPr>
      <w:r w:rsidRPr="009D46FF">
        <w:rPr>
          <w:rFonts w:eastAsia="Calibri"/>
        </w:rPr>
        <w:t>Gestión ágil de la información. La solución debe permitir la carga y extracción de datos de grandes volúmenes de datos asociados a muestras de forma ágil, así como la extracción de esta.</w:t>
      </w:r>
    </w:p>
    <w:p w14:paraId="502386A8" w14:textId="77777777" w:rsidR="009D46FF" w:rsidRPr="009D46FF" w:rsidRDefault="009D46FF" w:rsidP="004E2B27">
      <w:pPr>
        <w:pStyle w:val="Prrafodelista"/>
        <w:numPr>
          <w:ilvl w:val="0"/>
          <w:numId w:val="6"/>
        </w:numPr>
        <w:spacing w:before="0"/>
        <w:rPr>
          <w:rFonts w:eastAsia="Calibri"/>
        </w:rPr>
      </w:pPr>
      <w:r w:rsidRPr="009D46FF">
        <w:rPr>
          <w:rFonts w:eastAsia="Calibri"/>
        </w:rPr>
        <w:t>Garantía. Se deberá ofrecer una garantía de 1 año para la solución presentada. Esta garantía deberá cubrir las siguientes prestaciones:</w:t>
      </w:r>
    </w:p>
    <w:p w14:paraId="7DF1B877" w14:textId="77777777" w:rsidR="009D46FF" w:rsidRPr="009D46FF" w:rsidRDefault="009D46FF" w:rsidP="004E2B27">
      <w:pPr>
        <w:pStyle w:val="Prrafodelista"/>
        <w:numPr>
          <w:ilvl w:val="1"/>
          <w:numId w:val="6"/>
        </w:numPr>
        <w:spacing w:before="0"/>
        <w:rPr>
          <w:rFonts w:eastAsia="Calibri"/>
        </w:rPr>
      </w:pPr>
      <w:r w:rsidRPr="009D46FF">
        <w:rPr>
          <w:rFonts w:eastAsia="Calibri"/>
        </w:rPr>
        <w:t>Corrección de defectos funcionales y técnicos.</w:t>
      </w:r>
    </w:p>
    <w:p w14:paraId="3D3E9A7A" w14:textId="77777777" w:rsidR="009D46FF" w:rsidRPr="009D46FF" w:rsidRDefault="009D46FF" w:rsidP="004E2B27">
      <w:pPr>
        <w:pStyle w:val="Prrafodelista"/>
        <w:numPr>
          <w:ilvl w:val="1"/>
          <w:numId w:val="6"/>
        </w:numPr>
        <w:spacing w:before="0"/>
        <w:rPr>
          <w:rFonts w:eastAsia="Calibri"/>
        </w:rPr>
      </w:pPr>
      <w:r w:rsidRPr="009D46FF">
        <w:rPr>
          <w:rFonts w:eastAsia="Calibri"/>
        </w:rPr>
        <w:t>Servicio de atención al usuario de la aplicación.</w:t>
      </w:r>
    </w:p>
    <w:p w14:paraId="25B90DDE" w14:textId="77777777" w:rsidR="009D46FF" w:rsidRPr="009D46FF" w:rsidRDefault="009D46FF" w:rsidP="004E2B27">
      <w:pPr>
        <w:pStyle w:val="Prrafodelista"/>
        <w:numPr>
          <w:ilvl w:val="1"/>
          <w:numId w:val="6"/>
        </w:numPr>
        <w:spacing w:before="0"/>
        <w:rPr>
          <w:rFonts w:eastAsia="Calibri"/>
        </w:rPr>
      </w:pPr>
      <w:r w:rsidRPr="009D46FF">
        <w:rPr>
          <w:rFonts w:eastAsia="Calibri"/>
        </w:rPr>
        <w:t>Servicio de soporte al personal informático.</w:t>
      </w:r>
    </w:p>
    <w:p w14:paraId="4755C56E" w14:textId="77777777" w:rsidR="009D46FF" w:rsidRPr="009D46FF" w:rsidRDefault="009D46FF" w:rsidP="004E2B27">
      <w:pPr>
        <w:pStyle w:val="Prrafodelista"/>
        <w:numPr>
          <w:ilvl w:val="1"/>
          <w:numId w:val="6"/>
        </w:numPr>
        <w:spacing w:before="0"/>
        <w:rPr>
          <w:rFonts w:eastAsia="Calibri"/>
        </w:rPr>
      </w:pPr>
      <w:r w:rsidRPr="009D46FF">
        <w:rPr>
          <w:rFonts w:eastAsia="Calibri"/>
        </w:rPr>
        <w:t>Actualización de nuevas versiones del producto.</w:t>
      </w:r>
    </w:p>
    <w:p w14:paraId="4083E740" w14:textId="77777777" w:rsidR="009D46FF" w:rsidRPr="009D46FF" w:rsidRDefault="009D46FF" w:rsidP="004E2B27">
      <w:pPr>
        <w:pStyle w:val="Prrafodelista"/>
        <w:numPr>
          <w:ilvl w:val="1"/>
          <w:numId w:val="6"/>
        </w:numPr>
        <w:spacing w:before="0"/>
        <w:rPr>
          <w:rFonts w:eastAsia="Calibri"/>
        </w:rPr>
      </w:pPr>
      <w:r w:rsidRPr="009D46FF">
        <w:rPr>
          <w:rFonts w:eastAsia="Calibri"/>
        </w:rPr>
        <w:lastRenderedPageBreak/>
        <w:t>Acceso y mantenimiento de un sistema de formación autónoma o e-learning para usuarios.</w:t>
      </w:r>
    </w:p>
    <w:p w14:paraId="1F4B575F" w14:textId="77777777" w:rsidR="009D46FF" w:rsidRPr="009D46FF" w:rsidRDefault="009D46FF" w:rsidP="009D46FF">
      <w:pPr>
        <w:spacing w:before="0"/>
        <w:rPr>
          <w:rFonts w:eastAsia="Calibri"/>
        </w:rPr>
      </w:pPr>
      <w:r w:rsidRPr="009D46FF">
        <w:rPr>
          <w:rFonts w:eastAsia="Calibri"/>
        </w:rPr>
        <w:t>El licitador debe contar con un sistema profesional de soporte que permita el seguimiento de las incidencias y soportes solicitados.</w:t>
      </w:r>
    </w:p>
    <w:p w14:paraId="796AAFED" w14:textId="77777777" w:rsidR="000D0B80" w:rsidRPr="0050278B" w:rsidRDefault="000D0B80" w:rsidP="000D0B80">
      <w:pPr>
        <w:spacing w:before="0"/>
        <w:rPr>
          <w:rFonts w:ascii="Calibri Light" w:eastAsia="Calibri" w:hAnsi="Calibri Light" w:cs="Calibri Light"/>
        </w:rPr>
      </w:pPr>
    </w:p>
    <w:p w14:paraId="397D48FD" w14:textId="68A0013F" w:rsidR="000D0B80" w:rsidRPr="0050278B" w:rsidRDefault="009D46FF" w:rsidP="000D0B80">
      <w:pPr>
        <w:pStyle w:val="Ttulo2"/>
        <w:ind w:left="426"/>
      </w:pPr>
      <w:r>
        <w:t xml:space="preserve"> </w:t>
      </w:r>
      <w:bookmarkStart w:id="8" w:name="_Toc204590592"/>
      <w:r>
        <w:t>Funcionalidades</w:t>
      </w:r>
      <w:bookmarkEnd w:id="8"/>
      <w:r>
        <w:t xml:space="preserve"> </w:t>
      </w:r>
    </w:p>
    <w:p w14:paraId="03EC13BB" w14:textId="77777777" w:rsidR="00000847" w:rsidRPr="00000847" w:rsidRDefault="00000847" w:rsidP="00000847">
      <w:r w:rsidRPr="00000847">
        <w:t>El sistema proporcionado deberá incorporar, de forma nativa o mediante módulos oficialmente soportados, las dieciocho (18) funcionalidades que se describen a continuación. Todas ellas son esenciales para garantizar la trazabilidad, la soberanía y la explotación segura de los datos clínicos dentro del Espacio de Datos SHARE; deberán estar disponibles desde el primer día de puesta en producción.</w:t>
      </w:r>
    </w:p>
    <w:p w14:paraId="12BDB16C" w14:textId="7B81D10B" w:rsidR="00000847" w:rsidRPr="00000847" w:rsidRDefault="00000847" w:rsidP="004E2B27">
      <w:pPr>
        <w:pStyle w:val="Prrafodelista"/>
        <w:numPr>
          <w:ilvl w:val="0"/>
          <w:numId w:val="7"/>
        </w:numPr>
      </w:pPr>
      <w:r w:rsidRPr="00000847">
        <w:t xml:space="preserve">Registro de actividad y auditoría </w:t>
      </w:r>
      <w:proofErr w:type="gramStart"/>
      <w:r w:rsidRPr="00000847">
        <w:t>completa:.</w:t>
      </w:r>
      <w:proofErr w:type="gramEnd"/>
      <w:r w:rsidRPr="00000847">
        <w:t xml:space="preserve"> </w:t>
      </w:r>
    </w:p>
    <w:p w14:paraId="124C3076" w14:textId="53D494F3" w:rsidR="00000847" w:rsidRPr="00000847" w:rsidRDefault="00000847" w:rsidP="004E2B27">
      <w:pPr>
        <w:pStyle w:val="Prrafodelista"/>
        <w:numPr>
          <w:ilvl w:val="0"/>
          <w:numId w:val="7"/>
        </w:numPr>
      </w:pPr>
      <w:r w:rsidRPr="00000847">
        <w:t xml:space="preserve">Control de acceso granular (RBAC/ABAC): </w:t>
      </w:r>
    </w:p>
    <w:p w14:paraId="0FEBE980" w14:textId="1D631AA0" w:rsidR="00000847" w:rsidRPr="00000847" w:rsidRDefault="00000847" w:rsidP="004E2B27">
      <w:pPr>
        <w:pStyle w:val="Prrafodelista"/>
        <w:numPr>
          <w:ilvl w:val="0"/>
          <w:numId w:val="7"/>
        </w:numPr>
      </w:pPr>
      <w:r w:rsidRPr="00000847">
        <w:t xml:space="preserve">Virtualización federada de datos </w:t>
      </w:r>
    </w:p>
    <w:p w14:paraId="686983AD" w14:textId="7E0138A0" w:rsidR="00000847" w:rsidRPr="00000847" w:rsidRDefault="00000847" w:rsidP="004E2B27">
      <w:pPr>
        <w:pStyle w:val="Prrafodelista"/>
        <w:numPr>
          <w:ilvl w:val="0"/>
          <w:numId w:val="7"/>
        </w:numPr>
      </w:pPr>
      <w:r w:rsidRPr="00000847">
        <w:t xml:space="preserve">Seguridad y privacidad </w:t>
      </w:r>
      <w:proofErr w:type="spellStart"/>
      <w:r w:rsidRPr="00000847">
        <w:t>end</w:t>
      </w:r>
      <w:proofErr w:type="spellEnd"/>
      <w:r w:rsidRPr="00000847">
        <w:rPr>
          <w:rFonts w:ascii="Cambria Math" w:hAnsi="Cambria Math" w:cs="Cambria Math"/>
        </w:rPr>
        <w:t>‑</w:t>
      </w:r>
      <w:r w:rsidRPr="00000847">
        <w:t>to</w:t>
      </w:r>
      <w:r w:rsidRPr="00000847">
        <w:rPr>
          <w:rFonts w:ascii="Cambria Math" w:hAnsi="Cambria Math" w:cs="Cambria Math"/>
        </w:rPr>
        <w:t>‑</w:t>
      </w:r>
      <w:proofErr w:type="spellStart"/>
      <w:r w:rsidRPr="00000847">
        <w:t>end</w:t>
      </w:r>
      <w:proofErr w:type="spellEnd"/>
      <w:r w:rsidRPr="00000847">
        <w:t xml:space="preserve"> </w:t>
      </w:r>
    </w:p>
    <w:p w14:paraId="6E3BE75A" w14:textId="77777777" w:rsidR="00000847" w:rsidRDefault="00000847" w:rsidP="004E2B27">
      <w:pPr>
        <w:pStyle w:val="Prrafodelista"/>
        <w:numPr>
          <w:ilvl w:val="0"/>
          <w:numId w:val="7"/>
        </w:numPr>
      </w:pPr>
      <w:r w:rsidRPr="00000847">
        <w:t xml:space="preserve">Almacenamiento maestro transaccional </w:t>
      </w:r>
    </w:p>
    <w:p w14:paraId="5BC1E5F9" w14:textId="1BB0F1E0" w:rsidR="00000847" w:rsidRPr="00000847" w:rsidRDefault="00000847" w:rsidP="004E2B27">
      <w:pPr>
        <w:pStyle w:val="Prrafodelista"/>
        <w:numPr>
          <w:ilvl w:val="0"/>
          <w:numId w:val="7"/>
        </w:numPr>
      </w:pPr>
      <w:proofErr w:type="spellStart"/>
      <w:r w:rsidRPr="00000847">
        <w:t>APIs</w:t>
      </w:r>
      <w:proofErr w:type="spellEnd"/>
      <w:r w:rsidRPr="00000847">
        <w:t xml:space="preserve"> estándar (REST, DCAT, ODRL, FHIR, OMOP CDM) </w:t>
      </w:r>
      <w:proofErr w:type="spellStart"/>
      <w:r w:rsidRPr="00000847">
        <w:t>Endpoints</w:t>
      </w:r>
      <w:proofErr w:type="spellEnd"/>
      <w:r w:rsidRPr="00000847">
        <w:t xml:space="preserve"> </w:t>
      </w:r>
      <w:proofErr w:type="spellStart"/>
      <w:r w:rsidRPr="00000847">
        <w:t>RESTful</w:t>
      </w:r>
      <w:proofErr w:type="spellEnd"/>
      <w:r w:rsidRPr="00000847">
        <w:t xml:space="preserve"> y </w:t>
      </w:r>
      <w:proofErr w:type="spellStart"/>
      <w:r w:rsidRPr="00000847">
        <w:t>GraphQL</w:t>
      </w:r>
      <w:proofErr w:type="spellEnd"/>
      <w:r w:rsidRPr="00000847">
        <w:t xml:space="preserve"> para operaciones CRUD de metadatos y políticas; exportación del catálogo en DCAT</w:t>
      </w:r>
      <w:r w:rsidRPr="00000847">
        <w:rPr>
          <w:rFonts w:ascii="Cambria Math" w:hAnsi="Cambria Math" w:cs="Cambria Math"/>
        </w:rPr>
        <w:t>‑</w:t>
      </w:r>
      <w:r w:rsidRPr="00000847">
        <w:t>AP; gestión de contratos ODRL; conectores de ingestión FHIR / OMOP.</w:t>
      </w:r>
    </w:p>
    <w:p w14:paraId="38A06590" w14:textId="0B2764C1" w:rsidR="00000847" w:rsidRPr="00000847" w:rsidRDefault="00000847" w:rsidP="004E2B27">
      <w:pPr>
        <w:pStyle w:val="Prrafodelista"/>
        <w:numPr>
          <w:ilvl w:val="0"/>
          <w:numId w:val="7"/>
        </w:numPr>
      </w:pPr>
      <w:r w:rsidRPr="00000847">
        <w:t xml:space="preserve">Compatibilidad </w:t>
      </w:r>
      <w:proofErr w:type="spellStart"/>
      <w:r w:rsidRPr="00000847">
        <w:t>Gaia</w:t>
      </w:r>
      <w:proofErr w:type="spellEnd"/>
      <w:r w:rsidRPr="00000847">
        <w:rPr>
          <w:rFonts w:ascii="Cambria Math" w:hAnsi="Cambria Math" w:cs="Cambria Math"/>
        </w:rPr>
        <w:t>‑</w:t>
      </w:r>
      <w:r w:rsidRPr="00000847">
        <w:t>X/IDSA (EDC </w:t>
      </w:r>
      <w:proofErr w:type="spellStart"/>
      <w:r w:rsidRPr="00000847">
        <w:t>Connector</w:t>
      </w:r>
      <w:proofErr w:type="spellEnd"/>
      <w:r w:rsidRPr="00000847">
        <w:t xml:space="preserve">) Implementación certificada del protocolo IDS </w:t>
      </w:r>
      <w:proofErr w:type="spellStart"/>
      <w:r w:rsidRPr="00000847">
        <w:t>Dataspace</w:t>
      </w:r>
      <w:proofErr w:type="spellEnd"/>
      <w:r w:rsidRPr="00000847">
        <w:t xml:space="preserve"> (EDC 1.1) para federar políticas y transferir activos entre espacios europeos.</w:t>
      </w:r>
    </w:p>
    <w:p w14:paraId="7C65128F" w14:textId="0150F9BD" w:rsidR="00000847" w:rsidRPr="00000847" w:rsidRDefault="00000847" w:rsidP="004E2B27">
      <w:pPr>
        <w:pStyle w:val="Prrafodelista"/>
        <w:numPr>
          <w:ilvl w:val="0"/>
          <w:numId w:val="7"/>
        </w:numPr>
      </w:pPr>
      <w:proofErr w:type="spellStart"/>
      <w:r w:rsidRPr="00000847">
        <w:t>Anonimización</w:t>
      </w:r>
      <w:proofErr w:type="spellEnd"/>
      <w:r w:rsidRPr="00000847">
        <w:t xml:space="preserve"> y técnicas de privacidad </w:t>
      </w:r>
    </w:p>
    <w:p w14:paraId="4C860291" w14:textId="1A896EED" w:rsidR="00000847" w:rsidRPr="00000847" w:rsidRDefault="00000847" w:rsidP="004E2B27">
      <w:pPr>
        <w:pStyle w:val="Prrafodelista"/>
        <w:numPr>
          <w:ilvl w:val="0"/>
          <w:numId w:val="7"/>
        </w:numPr>
      </w:pPr>
      <w:r w:rsidRPr="00000847">
        <w:t xml:space="preserve">Identificación y clasificación de PII/PHI vía NLP </w:t>
      </w:r>
    </w:p>
    <w:p w14:paraId="4C1D5003" w14:textId="25713478" w:rsidR="00000847" w:rsidRPr="00000847" w:rsidRDefault="00000847" w:rsidP="004E2B27">
      <w:pPr>
        <w:pStyle w:val="Prrafodelista"/>
        <w:numPr>
          <w:ilvl w:val="0"/>
          <w:numId w:val="7"/>
        </w:numPr>
      </w:pPr>
      <w:r w:rsidRPr="00000847">
        <w:t xml:space="preserve">Gestión integral de metadatos y linaje </w:t>
      </w:r>
    </w:p>
    <w:p w14:paraId="1B936D0A" w14:textId="02F6B1AF" w:rsidR="00000847" w:rsidRPr="00000847" w:rsidRDefault="00000847" w:rsidP="004E2B27">
      <w:pPr>
        <w:pStyle w:val="Prrafodelista"/>
        <w:numPr>
          <w:ilvl w:val="0"/>
          <w:numId w:val="7"/>
        </w:numPr>
      </w:pPr>
      <w:proofErr w:type="spellStart"/>
      <w:r w:rsidRPr="00000847">
        <w:t>Dashboards</w:t>
      </w:r>
      <w:proofErr w:type="spellEnd"/>
      <w:r w:rsidRPr="00000847">
        <w:t xml:space="preserve"> interactivos de exploración y cumplimiento </w:t>
      </w:r>
    </w:p>
    <w:p w14:paraId="01CAEC55" w14:textId="4D0B2661" w:rsidR="00000847" w:rsidRPr="00000847" w:rsidRDefault="00000847" w:rsidP="004E2B27">
      <w:pPr>
        <w:pStyle w:val="Prrafodelista"/>
        <w:numPr>
          <w:ilvl w:val="0"/>
          <w:numId w:val="7"/>
        </w:numPr>
      </w:pPr>
      <w:r w:rsidRPr="00000847">
        <w:t>Motor de procesamiento distribuido</w:t>
      </w:r>
    </w:p>
    <w:p w14:paraId="60D9283B" w14:textId="3FCC4858" w:rsidR="00000847" w:rsidRPr="00000847" w:rsidRDefault="00000847" w:rsidP="004E2B27">
      <w:pPr>
        <w:pStyle w:val="Prrafodelista"/>
        <w:numPr>
          <w:ilvl w:val="0"/>
          <w:numId w:val="7"/>
        </w:numPr>
      </w:pPr>
      <w:r w:rsidRPr="00000847">
        <w:t>Enmascaramiento de datos, ofuscación y otras técnicas por usuario según privilegios</w:t>
      </w:r>
    </w:p>
    <w:p w14:paraId="05E957D9" w14:textId="1B003CC0" w:rsidR="00000847" w:rsidRPr="00000847" w:rsidRDefault="00000847" w:rsidP="004E2B27">
      <w:pPr>
        <w:pStyle w:val="Prrafodelista"/>
        <w:numPr>
          <w:ilvl w:val="0"/>
          <w:numId w:val="7"/>
        </w:numPr>
      </w:pPr>
      <w:r w:rsidRPr="00000847">
        <w:t>Flujos de validación y limpieza de calidad</w:t>
      </w:r>
    </w:p>
    <w:p w14:paraId="63DBE656" w14:textId="732750FD" w:rsidR="00000847" w:rsidRPr="00000847" w:rsidRDefault="00000847" w:rsidP="004E2B27">
      <w:pPr>
        <w:pStyle w:val="Prrafodelista"/>
        <w:numPr>
          <w:ilvl w:val="0"/>
          <w:numId w:val="7"/>
        </w:numPr>
      </w:pPr>
      <w:r w:rsidRPr="00000847">
        <w:t xml:space="preserve">Data Management </w:t>
      </w:r>
    </w:p>
    <w:p w14:paraId="06206E87" w14:textId="465ADF70" w:rsidR="00000847" w:rsidRPr="00000847" w:rsidRDefault="00000847" w:rsidP="004E2B27">
      <w:pPr>
        <w:pStyle w:val="Prrafodelista"/>
        <w:numPr>
          <w:ilvl w:val="0"/>
          <w:numId w:val="7"/>
        </w:numPr>
      </w:pPr>
      <w:r w:rsidRPr="00000847">
        <w:t>Se considera un plus el soporte de OCR y carga masiva</w:t>
      </w:r>
    </w:p>
    <w:p w14:paraId="1F124869" w14:textId="273AAA53" w:rsidR="000D0B80" w:rsidRDefault="00000847" w:rsidP="004E2B27">
      <w:pPr>
        <w:pStyle w:val="Prrafodelista"/>
        <w:numPr>
          <w:ilvl w:val="0"/>
          <w:numId w:val="7"/>
        </w:numPr>
      </w:pPr>
      <w:r w:rsidRPr="00000847">
        <w:t>Módulos de analítica predictiva y aprendizaje automático</w:t>
      </w:r>
    </w:p>
    <w:p w14:paraId="07CE0954" w14:textId="77777777" w:rsidR="00000847" w:rsidRPr="0050278B" w:rsidRDefault="00000847" w:rsidP="00000847"/>
    <w:p w14:paraId="7E54C524" w14:textId="770D9C48" w:rsidR="007931F2" w:rsidRPr="0050278B" w:rsidRDefault="00000847" w:rsidP="002F5908">
      <w:pPr>
        <w:pStyle w:val="Ttulo2"/>
      </w:pPr>
      <w:bookmarkStart w:id="9" w:name="_57qew2qw7add" w:colFirst="0" w:colLast="0"/>
      <w:bookmarkEnd w:id="9"/>
      <w:r>
        <w:t xml:space="preserve"> </w:t>
      </w:r>
      <w:bookmarkStart w:id="10" w:name="_Toc204590593"/>
      <w:r>
        <w:t>Requerimientos técnicos</w:t>
      </w:r>
      <w:bookmarkEnd w:id="10"/>
      <w:r>
        <w:t xml:space="preserve"> </w:t>
      </w:r>
    </w:p>
    <w:p w14:paraId="5219A6BE" w14:textId="77777777" w:rsidR="004E02FF" w:rsidRDefault="004E02FF" w:rsidP="004E02FF">
      <w:r>
        <w:t>La licencia previamente descrita deberá incluir los siguientes requerimientos:</w:t>
      </w:r>
    </w:p>
    <w:p w14:paraId="5B6A0BD1" w14:textId="56F36714" w:rsidR="004E02FF" w:rsidRDefault="004E02FF" w:rsidP="004E2B27">
      <w:pPr>
        <w:pStyle w:val="Prrafodelista"/>
        <w:numPr>
          <w:ilvl w:val="0"/>
          <w:numId w:val="8"/>
        </w:numPr>
      </w:pPr>
      <w:r>
        <w:lastRenderedPageBreak/>
        <w:t>El sistema debe trabajar todo tipo de datos, con sistemas de bases de datos relacionales (MySQL, PostgreSQL, SQLite, Oracle, Microsoft SQL Server) y no relacionales (</w:t>
      </w:r>
      <w:proofErr w:type="spellStart"/>
      <w:r>
        <w:t>MongoDB</w:t>
      </w:r>
      <w:proofErr w:type="spellEnd"/>
      <w:r>
        <w:t xml:space="preserve">, Amazon </w:t>
      </w:r>
      <w:proofErr w:type="spellStart"/>
      <w:r>
        <w:t>DynamoDB</w:t>
      </w:r>
      <w:proofErr w:type="spellEnd"/>
      <w:r>
        <w:t xml:space="preserve">, </w:t>
      </w:r>
      <w:proofErr w:type="spellStart"/>
      <w:r>
        <w:t>Cassandra</w:t>
      </w:r>
      <w:proofErr w:type="spellEnd"/>
      <w:r>
        <w:t xml:space="preserve">, </w:t>
      </w:r>
      <w:proofErr w:type="spellStart"/>
      <w:r>
        <w:t>Redis</w:t>
      </w:r>
      <w:proofErr w:type="spellEnd"/>
      <w:r>
        <w:t>, Neo4j).</w:t>
      </w:r>
    </w:p>
    <w:p w14:paraId="51240E68" w14:textId="1B57CFAC" w:rsidR="004E02FF" w:rsidRDefault="004E02FF" w:rsidP="004E2B27">
      <w:pPr>
        <w:pStyle w:val="Prrafodelista"/>
        <w:numPr>
          <w:ilvl w:val="0"/>
          <w:numId w:val="8"/>
        </w:numPr>
      </w:pPr>
      <w:r>
        <w:t xml:space="preserve">La solución debe permitir su instalación en entornos tanto </w:t>
      </w:r>
      <w:proofErr w:type="spellStart"/>
      <w:r>
        <w:t>on-premise</w:t>
      </w:r>
      <w:proofErr w:type="spellEnd"/>
      <w:r>
        <w:t xml:space="preserve"> como </w:t>
      </w:r>
      <w:proofErr w:type="spellStart"/>
      <w:r>
        <w:t>cloud</w:t>
      </w:r>
      <w:proofErr w:type="spellEnd"/>
      <w:r>
        <w:t>, y ser compatible con una infraestructura informática donde la aplicación y base de datos se encuentren física o virtualmente separados.</w:t>
      </w:r>
    </w:p>
    <w:p w14:paraId="70D78A9B" w14:textId="6DAF0AF7" w:rsidR="004E02FF" w:rsidRDefault="004E02FF" w:rsidP="004E2B27">
      <w:pPr>
        <w:pStyle w:val="Prrafodelista"/>
        <w:numPr>
          <w:ilvl w:val="0"/>
          <w:numId w:val="8"/>
        </w:numPr>
      </w:pPr>
      <w:r>
        <w:t>El sistema debe ser compatible con las versiones vigentes a fecha de publicación del pliego de los navegadores web Firefox, Chrome, Opera y Edge. Además, el proveedor debe comprometerse a realizar los ajustes pertinentes en el producto de cara a mantener dicha compatibilidad en el futuro.</w:t>
      </w:r>
    </w:p>
    <w:p w14:paraId="40BACD0E" w14:textId="39D2F889" w:rsidR="009E470F" w:rsidRDefault="004E02FF" w:rsidP="004E2B27">
      <w:pPr>
        <w:pStyle w:val="Prrafodelista"/>
        <w:numPr>
          <w:ilvl w:val="0"/>
          <w:numId w:val="8"/>
        </w:numPr>
      </w:pPr>
      <w:r>
        <w:t>Toda la información recogida en el sistema, incluyendo ficheros adjuntos, debe almacenarse en la base de datos de la solución.</w:t>
      </w:r>
      <w:bookmarkStart w:id="11" w:name="_1ywi58ryhrms" w:colFirst="0" w:colLast="0"/>
      <w:bookmarkEnd w:id="11"/>
    </w:p>
    <w:p w14:paraId="178D0832" w14:textId="77777777" w:rsidR="00936B61" w:rsidRPr="0050278B" w:rsidRDefault="00936B61" w:rsidP="00936B61"/>
    <w:p w14:paraId="107A562A" w14:textId="77777777" w:rsidR="007931F2" w:rsidRPr="0050278B" w:rsidRDefault="007931F2" w:rsidP="002F5908">
      <w:pPr>
        <w:pStyle w:val="Ttulo2"/>
      </w:pPr>
      <w:bookmarkStart w:id="12" w:name="_tyisvncghlj7" w:colFirst="0" w:colLast="0"/>
      <w:bookmarkStart w:id="13" w:name="_Toc204590594"/>
      <w:bookmarkEnd w:id="12"/>
      <w:r w:rsidRPr="0050278B">
        <w:t>Otros requisitos</w:t>
      </w:r>
      <w:bookmarkEnd w:id="13"/>
    </w:p>
    <w:p w14:paraId="2F93B7EA" w14:textId="77777777" w:rsidR="00E52E58" w:rsidRDefault="00E52E58" w:rsidP="00E52E58">
      <w:r>
        <w:t>La utilización de la nueva licencia deberá incluir un servicio de formación para el uso de la misma, así como la atención de los usuarios para resolver dudas e incidencias.</w:t>
      </w:r>
    </w:p>
    <w:p w14:paraId="51036805" w14:textId="77777777" w:rsidR="00E52E58" w:rsidRDefault="00E52E58" w:rsidP="00E52E58">
      <w:r>
        <w:t>Para llevar a cabo el objeto de esta licitación es necesario un equipo técnico funcional capaz de ejecutar este servicio dentro de los plazos establecidos.</w:t>
      </w:r>
    </w:p>
    <w:p w14:paraId="39EC15FA" w14:textId="140DD4B4" w:rsidR="00E52E58" w:rsidRDefault="00E52E58" w:rsidP="00E52E58">
      <w:r>
        <w:t>Durante la ejecución del contrato la empresa adjudicataria deberá ofrecer un servicio de mantenimiento de la licencia contratada.</w:t>
      </w:r>
    </w:p>
    <w:p w14:paraId="7B8D912E" w14:textId="77777777" w:rsidR="00E52E58" w:rsidRPr="0050278B" w:rsidRDefault="00E52E58" w:rsidP="00E52E58"/>
    <w:p w14:paraId="47DE5F8D" w14:textId="77777777" w:rsidR="007931F2" w:rsidRPr="0050278B" w:rsidRDefault="007931F2" w:rsidP="002F5908">
      <w:pPr>
        <w:pStyle w:val="Ttulo1"/>
        <w:rPr>
          <w:color w:val="auto"/>
        </w:rPr>
      </w:pPr>
      <w:bookmarkStart w:id="14" w:name="_5q5u7cvgj1u2" w:colFirst="0" w:colLast="0"/>
      <w:bookmarkStart w:id="15" w:name="_Toc204590595"/>
      <w:bookmarkEnd w:id="14"/>
      <w:r w:rsidRPr="0050278B">
        <w:rPr>
          <w:color w:val="auto"/>
        </w:rPr>
        <w:t>CONDICIONES Y PLAZOS DE ENTREGA</w:t>
      </w:r>
      <w:bookmarkEnd w:id="15"/>
    </w:p>
    <w:p w14:paraId="31FD5C69" w14:textId="4EFBF714" w:rsidR="00AE6E17" w:rsidRPr="0050278B" w:rsidRDefault="00191F9B" w:rsidP="0036541E">
      <w:r w:rsidRPr="0050278B">
        <w:t>La entrega de la licencia y los servicios asociados al mismo objeto de la presente licitación habrán de realizarse en un plazo de un (1) mes a partir de la formalización del contrato.</w:t>
      </w:r>
    </w:p>
    <w:p w14:paraId="1C863DFE" w14:textId="77777777" w:rsidR="00191F9B" w:rsidRPr="0050278B" w:rsidRDefault="00191F9B" w:rsidP="0036541E">
      <w:pPr>
        <w:rPr>
          <w:lang w:eastAsia="es-ES"/>
        </w:rPr>
      </w:pPr>
    </w:p>
    <w:p w14:paraId="08196B44" w14:textId="443AE4D4" w:rsidR="00AE6E17" w:rsidRPr="0050278B" w:rsidRDefault="00AE6E17" w:rsidP="0036541E">
      <w:pPr>
        <w:rPr>
          <w:lang w:eastAsia="es-ES"/>
        </w:rPr>
      </w:pPr>
      <w:r w:rsidRPr="0050278B">
        <w:rPr>
          <w:lang w:eastAsia="es-ES"/>
        </w:rPr>
        <w:t>POR EL ÓRGANO DE CONTRATACIÓN,</w:t>
      </w:r>
    </w:p>
    <w:p w14:paraId="22697E8C" w14:textId="105382B3" w:rsidR="00AE6E17" w:rsidRPr="0050278B" w:rsidRDefault="00AE6E17" w:rsidP="0036541E">
      <w:pPr>
        <w:rPr>
          <w:lang w:eastAsia="es-ES"/>
        </w:rPr>
      </w:pPr>
      <w:r w:rsidRPr="0050278B">
        <w:rPr>
          <w:lang w:eastAsia="es-ES"/>
        </w:rPr>
        <w:t>Presidente del Patronato</w:t>
      </w:r>
    </w:p>
    <w:p w14:paraId="2DB06A5F" w14:textId="65C7A129" w:rsidR="00FD7B8A" w:rsidRPr="0050278B" w:rsidRDefault="00FD7B8A" w:rsidP="00976839">
      <w:pPr>
        <w:jc w:val="right"/>
        <w:rPr>
          <w:lang w:eastAsia="es-ES"/>
        </w:rPr>
      </w:pPr>
      <w:r w:rsidRPr="0050278B">
        <w:rPr>
          <w:lang w:eastAsia="es-ES"/>
        </w:rPr>
        <w:t>CONFORME</w:t>
      </w:r>
      <w:r w:rsidR="00AE6E17" w:rsidRPr="0050278B">
        <w:rPr>
          <w:lang w:eastAsia="es-ES"/>
        </w:rPr>
        <w:t xml:space="preserve"> </w:t>
      </w:r>
    </w:p>
    <w:p w14:paraId="63ED7F53" w14:textId="77777777" w:rsidR="00FD7B8A" w:rsidRPr="0050278B" w:rsidRDefault="00FD7B8A" w:rsidP="00976839">
      <w:pPr>
        <w:jc w:val="right"/>
        <w:rPr>
          <w:lang w:eastAsia="es-ES"/>
        </w:rPr>
      </w:pPr>
      <w:r w:rsidRPr="0050278B">
        <w:rPr>
          <w:lang w:eastAsia="es-ES"/>
        </w:rPr>
        <w:t>EL ADJUDICATARIO</w:t>
      </w:r>
    </w:p>
    <w:sectPr w:rsidR="00FD7B8A" w:rsidRPr="0050278B" w:rsidSect="00AE2F29">
      <w:headerReference w:type="default" r:id="rId8"/>
      <w:footerReference w:type="default" r:id="rId9"/>
      <w:pgSz w:w="11906" w:h="16838"/>
      <w:pgMar w:top="1701" w:right="1701" w:bottom="1417" w:left="1701"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39ED0" w14:textId="77777777" w:rsidR="00512CA7" w:rsidRDefault="00512CA7" w:rsidP="0036541E">
      <w:r>
        <w:separator/>
      </w:r>
    </w:p>
    <w:p w14:paraId="0C7048F0" w14:textId="77777777" w:rsidR="00512CA7" w:rsidRDefault="00512CA7" w:rsidP="0036541E"/>
    <w:p w14:paraId="4AAADB94" w14:textId="77777777" w:rsidR="00512CA7" w:rsidRDefault="00512CA7" w:rsidP="0036541E"/>
  </w:endnote>
  <w:endnote w:type="continuationSeparator" w:id="0">
    <w:p w14:paraId="550CAF57" w14:textId="77777777" w:rsidR="00512CA7" w:rsidRDefault="00512CA7" w:rsidP="0036541E">
      <w:r>
        <w:continuationSeparator/>
      </w:r>
    </w:p>
    <w:p w14:paraId="62AF710C" w14:textId="77777777" w:rsidR="00512CA7" w:rsidRDefault="00512CA7" w:rsidP="0036541E"/>
    <w:p w14:paraId="7F90CE65" w14:textId="77777777" w:rsidR="00512CA7" w:rsidRDefault="00512CA7" w:rsidP="00365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268875"/>
      <w:docPartObj>
        <w:docPartGallery w:val="Page Numbers (Bottom of Page)"/>
        <w:docPartUnique/>
      </w:docPartObj>
    </w:sdtPr>
    <w:sdtEndPr/>
    <w:sdtContent>
      <w:p w14:paraId="5D40E29F" w14:textId="679C1043" w:rsidR="00B133B1" w:rsidRPr="00763D34" w:rsidRDefault="00763D34" w:rsidP="004A4E3F">
        <w:pPr>
          <w:pStyle w:val="Piedepgina"/>
          <w:jc w:val="right"/>
        </w:pPr>
        <w:r w:rsidRPr="00763D34">
          <w:fldChar w:fldCharType="begin"/>
        </w:r>
        <w:r w:rsidRPr="00763D34">
          <w:instrText>PAGE   \* MERGEFORMAT</w:instrText>
        </w:r>
        <w:r w:rsidRPr="00763D34">
          <w:fldChar w:fldCharType="separate"/>
        </w:r>
        <w:r w:rsidR="004E2B27">
          <w:rPr>
            <w:noProof/>
          </w:rPr>
          <w:t>6</w:t>
        </w:r>
        <w:r w:rsidRPr="00763D3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F3D59" w14:textId="77777777" w:rsidR="00512CA7" w:rsidRDefault="00512CA7" w:rsidP="0036541E">
      <w:r>
        <w:separator/>
      </w:r>
    </w:p>
    <w:p w14:paraId="03615940" w14:textId="77777777" w:rsidR="00512CA7" w:rsidRDefault="00512CA7" w:rsidP="0036541E"/>
    <w:p w14:paraId="48A99E87" w14:textId="77777777" w:rsidR="00512CA7" w:rsidRDefault="00512CA7" w:rsidP="0036541E"/>
  </w:footnote>
  <w:footnote w:type="continuationSeparator" w:id="0">
    <w:p w14:paraId="074EA9AB" w14:textId="77777777" w:rsidR="00512CA7" w:rsidRDefault="00512CA7" w:rsidP="0036541E">
      <w:r>
        <w:continuationSeparator/>
      </w:r>
    </w:p>
    <w:p w14:paraId="6FCFA6FC" w14:textId="77777777" w:rsidR="00512CA7" w:rsidRDefault="00512CA7" w:rsidP="0036541E"/>
    <w:p w14:paraId="0C4615A6" w14:textId="77777777" w:rsidR="00512CA7" w:rsidRDefault="00512CA7" w:rsidP="0036541E"/>
  </w:footnote>
  <w:footnote w:id="1">
    <w:p w14:paraId="4CB4D4F6" w14:textId="2C9A3D71" w:rsidR="0033336D" w:rsidRPr="00405C6E" w:rsidRDefault="0033336D" w:rsidP="0036541E">
      <w:pPr>
        <w:pStyle w:val="Textonotapie"/>
      </w:pPr>
      <w:r w:rsidRPr="00405C6E">
        <w:rPr>
          <w:rStyle w:val="Refdenotaalpie"/>
        </w:rPr>
        <w:footnoteRef/>
      </w:r>
      <w:r w:rsidR="00363030" w:rsidRPr="00405C6E">
        <w:t xml:space="preserve"> </w:t>
      </w:r>
      <w:r w:rsidR="00363030">
        <w:t>P</w:t>
      </w:r>
      <w:r w:rsidR="00363030" w:rsidRPr="00405C6E">
        <w:t xml:space="preserve">royecto </w:t>
      </w:r>
      <w:r w:rsidR="00363030">
        <w:t>concedido</w:t>
      </w:r>
      <w:r w:rsidR="00363030" w:rsidRPr="00405C6E">
        <w:t xml:space="preserve"> por </w:t>
      </w:r>
      <w:r w:rsidR="00363030">
        <w:t>la C</w:t>
      </w:r>
      <w:r w:rsidR="00363030" w:rsidRPr="00363030">
        <w:t>onvocatoria de ayudas del programa de espacios de datos sectoriales para</w:t>
      </w:r>
      <w:r w:rsidR="00363030">
        <w:t xml:space="preserve"> </w:t>
      </w:r>
      <w:r w:rsidR="00363030" w:rsidRPr="00363030">
        <w:t xml:space="preserve">la </w:t>
      </w:r>
      <w:r w:rsidR="00363030">
        <w:t>T</w:t>
      </w:r>
      <w:r w:rsidR="00363030" w:rsidRPr="00363030">
        <w:t xml:space="preserve">ransformación </w:t>
      </w:r>
      <w:r w:rsidR="00363030">
        <w:t>D</w:t>
      </w:r>
      <w:r w:rsidR="00363030" w:rsidRPr="00363030">
        <w:t xml:space="preserve">igital de los </w:t>
      </w:r>
      <w:r w:rsidR="00363030">
        <w:t>S</w:t>
      </w:r>
      <w:r w:rsidR="00363030" w:rsidRPr="00363030">
        <w:t xml:space="preserve">ectores </w:t>
      </w:r>
      <w:r w:rsidR="00363030">
        <w:t>P</w:t>
      </w:r>
      <w:r w:rsidR="00363030" w:rsidRPr="00363030">
        <w:t xml:space="preserve">roductivos </w:t>
      </w:r>
      <w:r w:rsidR="00363030">
        <w:t>E</w:t>
      </w:r>
      <w:r w:rsidR="00363030" w:rsidRPr="00363030">
        <w:t>stratégicos mediante la</w:t>
      </w:r>
      <w:r w:rsidR="00363030">
        <w:t xml:space="preserve"> </w:t>
      </w:r>
      <w:r w:rsidR="00363030" w:rsidRPr="00363030">
        <w:t xml:space="preserve">creación de </w:t>
      </w:r>
      <w:r w:rsidR="00363030">
        <w:t>d</w:t>
      </w:r>
      <w:r w:rsidR="00363030" w:rsidRPr="00363030">
        <w:t>emostradores y casos de uso de espacios de compartición de datos</w:t>
      </w:r>
      <w:r w:rsidR="00363030">
        <w:t>, financiado por los Fondos Next Generation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07B91" w14:textId="3BED19D8" w:rsidR="00AD7E97" w:rsidRDefault="00994110" w:rsidP="0036541E">
    <w:pPr>
      <w:pStyle w:val="Encabezado"/>
    </w:pPr>
    <w:r w:rsidRPr="00003293">
      <w:rPr>
        <w:noProof/>
        <w:sz w:val="20"/>
        <w:szCs w:val="20"/>
        <w:lang w:eastAsia="es-ES"/>
      </w:rPr>
      <w:drawing>
        <wp:anchor distT="0" distB="0" distL="114300" distR="114300" simplePos="0" relativeHeight="251665408" behindDoc="1" locked="0" layoutInCell="1" allowOverlap="1" wp14:anchorId="4B393B3B" wp14:editId="71F29D93">
          <wp:simplePos x="0" y="0"/>
          <wp:positionH relativeFrom="margin">
            <wp:posOffset>3874770</wp:posOffset>
          </wp:positionH>
          <wp:positionV relativeFrom="paragraph">
            <wp:posOffset>-153670</wp:posOffset>
          </wp:positionV>
          <wp:extent cx="1656715" cy="321945"/>
          <wp:effectExtent l="0" t="0" r="635" b="1905"/>
          <wp:wrapTight wrapText="bothSides">
            <wp:wrapPolygon edited="0">
              <wp:start x="0" y="0"/>
              <wp:lineTo x="0" y="20450"/>
              <wp:lineTo x="21360" y="20450"/>
              <wp:lineTo x="21360" y="0"/>
              <wp:lineTo x="0" y="0"/>
            </wp:wrapPolygon>
          </wp:wrapTight>
          <wp:docPr id="311885162" name="Imagen 31188516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6715" cy="321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110">
      <w:rPr>
        <w:noProof/>
        <w:lang w:eastAsia="es-ES"/>
      </w:rPr>
      <w:drawing>
        <wp:anchor distT="0" distB="0" distL="114300" distR="114300" simplePos="0" relativeHeight="251666432" behindDoc="1" locked="0" layoutInCell="1" allowOverlap="1" wp14:anchorId="1D7DAB22" wp14:editId="35E06646">
          <wp:simplePos x="0" y="0"/>
          <wp:positionH relativeFrom="column">
            <wp:posOffset>2323465</wp:posOffset>
          </wp:positionH>
          <wp:positionV relativeFrom="paragraph">
            <wp:posOffset>-143510</wp:posOffset>
          </wp:positionV>
          <wp:extent cx="1417320" cy="344805"/>
          <wp:effectExtent l="0" t="0" r="0" b="0"/>
          <wp:wrapTight wrapText="bothSides">
            <wp:wrapPolygon edited="0">
              <wp:start x="0" y="0"/>
              <wp:lineTo x="0" y="20287"/>
              <wp:lineTo x="21194" y="20287"/>
              <wp:lineTo x="21194" y="0"/>
              <wp:lineTo x="0" y="0"/>
            </wp:wrapPolygon>
          </wp:wrapTight>
          <wp:docPr id="209691168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7320" cy="344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4CEB">
      <w:rPr>
        <w:noProof/>
        <w:lang w:eastAsia="es-ES"/>
      </w:rPr>
      <w:drawing>
        <wp:anchor distT="0" distB="0" distL="114300" distR="114300" simplePos="0" relativeHeight="251662336" behindDoc="0" locked="0" layoutInCell="1" allowOverlap="1" wp14:anchorId="27AE82F0" wp14:editId="05C6838A">
          <wp:simplePos x="0" y="0"/>
          <wp:positionH relativeFrom="column">
            <wp:posOffset>1485265</wp:posOffset>
          </wp:positionH>
          <wp:positionV relativeFrom="paragraph">
            <wp:posOffset>-154940</wp:posOffset>
          </wp:positionV>
          <wp:extent cx="736600" cy="413385"/>
          <wp:effectExtent l="0" t="0" r="6350" b="5715"/>
          <wp:wrapSquare wrapText="bothSides"/>
          <wp:docPr id="116127247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6600" cy="4133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4CEB">
      <w:rPr>
        <w:noProof/>
        <w:lang w:eastAsia="es-ES"/>
      </w:rPr>
      <w:drawing>
        <wp:anchor distT="0" distB="0" distL="114300" distR="114300" simplePos="0" relativeHeight="251660288" behindDoc="0" locked="0" layoutInCell="1" allowOverlap="1" wp14:anchorId="5C6CF719" wp14:editId="5B897E87">
          <wp:simplePos x="0" y="0"/>
          <wp:positionH relativeFrom="column">
            <wp:posOffset>-38735</wp:posOffset>
          </wp:positionH>
          <wp:positionV relativeFrom="paragraph">
            <wp:posOffset>-142240</wp:posOffset>
          </wp:positionV>
          <wp:extent cx="1416050" cy="385445"/>
          <wp:effectExtent l="0" t="0" r="0" b="0"/>
          <wp:wrapSquare wrapText="bothSides"/>
          <wp:docPr id="616358555"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047753" name="Imagen 17"/>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16050" cy="385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D71B7"/>
    <w:multiLevelType w:val="hybridMultilevel"/>
    <w:tmpl w:val="A588FE92"/>
    <w:lvl w:ilvl="0" w:tplc="391C383C">
      <w:start w:val="1"/>
      <w:numFmt w:val="bullet"/>
      <w:lvlText w:val="-"/>
      <w:lvlJc w:val="left"/>
      <w:pPr>
        <w:ind w:left="720" w:hanging="360"/>
      </w:pPr>
      <w:rPr>
        <w:rFonts w:ascii="Verdana" w:hAnsi="Verdana"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E75222B"/>
    <w:multiLevelType w:val="hybridMultilevel"/>
    <w:tmpl w:val="219E0E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E040452"/>
    <w:multiLevelType w:val="multilevel"/>
    <w:tmpl w:val="3E386F54"/>
    <w:lvl w:ilvl="0">
      <w:start w:val="1"/>
      <w:numFmt w:val="decimal"/>
      <w:pStyle w:val="Ttulo1"/>
      <w:lvlText w:val="%1"/>
      <w:lvlJc w:val="left"/>
      <w:pPr>
        <w:ind w:left="-648" w:hanging="432"/>
      </w:pPr>
    </w:lvl>
    <w:lvl w:ilvl="1">
      <w:start w:val="1"/>
      <w:numFmt w:val="decimal"/>
      <w:lvlText w:val="%1.%2"/>
      <w:lvlJc w:val="left"/>
      <w:pPr>
        <w:ind w:left="-504" w:hanging="576"/>
      </w:pPr>
    </w:lvl>
    <w:lvl w:ilvl="2">
      <w:start w:val="1"/>
      <w:numFmt w:val="decimal"/>
      <w:lvlText w:val="%1.%2.%3"/>
      <w:lvlJc w:val="left"/>
      <w:pPr>
        <w:ind w:left="-360" w:hanging="720"/>
      </w:pPr>
    </w:lvl>
    <w:lvl w:ilvl="3">
      <w:start w:val="1"/>
      <w:numFmt w:val="decimal"/>
      <w:lvlText w:val="%1.%2.%3.%4"/>
      <w:lvlJc w:val="left"/>
      <w:pPr>
        <w:ind w:left="-216" w:hanging="864"/>
      </w:pPr>
    </w:lvl>
    <w:lvl w:ilvl="4">
      <w:start w:val="1"/>
      <w:numFmt w:val="decimal"/>
      <w:lvlText w:val="%1.%2.%3.%4.%5"/>
      <w:lvlJc w:val="left"/>
      <w:pPr>
        <w:ind w:left="-72" w:hanging="1008"/>
      </w:pPr>
    </w:lvl>
    <w:lvl w:ilvl="5">
      <w:start w:val="1"/>
      <w:numFmt w:val="decimal"/>
      <w:lvlText w:val="%1.%2.%3.%4.%5.%6"/>
      <w:lvlJc w:val="left"/>
      <w:pPr>
        <w:ind w:left="72" w:hanging="1152"/>
      </w:pPr>
    </w:lvl>
    <w:lvl w:ilvl="6">
      <w:start w:val="1"/>
      <w:numFmt w:val="decimal"/>
      <w:lvlText w:val="%1.%2.%3.%4.%5.%6.%7"/>
      <w:lvlJc w:val="left"/>
      <w:pPr>
        <w:ind w:left="216" w:hanging="1296"/>
      </w:pPr>
    </w:lvl>
    <w:lvl w:ilvl="7">
      <w:start w:val="1"/>
      <w:numFmt w:val="decimal"/>
      <w:lvlText w:val="%1.%2.%3.%4.%5.%6.%7.%8"/>
      <w:lvlJc w:val="left"/>
      <w:pPr>
        <w:ind w:left="360" w:hanging="1440"/>
      </w:pPr>
    </w:lvl>
    <w:lvl w:ilvl="8">
      <w:start w:val="1"/>
      <w:numFmt w:val="decimal"/>
      <w:lvlText w:val="%1.%2.%3.%4.%5.%6.%7.%8.%9"/>
      <w:lvlJc w:val="left"/>
      <w:pPr>
        <w:ind w:left="504" w:hanging="1584"/>
      </w:pPr>
    </w:lvl>
  </w:abstractNum>
  <w:abstractNum w:abstractNumId="3" w15:restartNumberingAfterBreak="0">
    <w:nsid w:val="2F7E2B59"/>
    <w:multiLevelType w:val="hybridMultilevel"/>
    <w:tmpl w:val="69CE68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2296A53"/>
    <w:multiLevelType w:val="hybridMultilevel"/>
    <w:tmpl w:val="94B08C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5411AF9"/>
    <w:multiLevelType w:val="hybridMultilevel"/>
    <w:tmpl w:val="DD7C94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63B7475"/>
    <w:multiLevelType w:val="hybridMultilevel"/>
    <w:tmpl w:val="20B887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D81138D"/>
    <w:multiLevelType w:val="hybridMultilevel"/>
    <w:tmpl w:val="9164193A"/>
    <w:lvl w:ilvl="0" w:tplc="4E9C40C6">
      <w:start w:val="1"/>
      <w:numFmt w:val="decimal"/>
      <w:pStyle w:val="Ttulo2"/>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4"/>
  </w:num>
  <w:num w:numId="5">
    <w:abstractNumId w:val="1"/>
  </w:num>
  <w:num w:numId="6">
    <w:abstractNumId w:val="6"/>
  </w:num>
  <w:num w:numId="7">
    <w:abstractNumId w:val="5"/>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CBE"/>
    <w:rsid w:val="00000847"/>
    <w:rsid w:val="00000C98"/>
    <w:rsid w:val="000030DE"/>
    <w:rsid w:val="00003293"/>
    <w:rsid w:val="0000362C"/>
    <w:rsid w:val="00011624"/>
    <w:rsid w:val="000240C8"/>
    <w:rsid w:val="00024A27"/>
    <w:rsid w:val="0002719F"/>
    <w:rsid w:val="00032EEF"/>
    <w:rsid w:val="00033909"/>
    <w:rsid w:val="0003503E"/>
    <w:rsid w:val="00036C9C"/>
    <w:rsid w:val="00050A56"/>
    <w:rsid w:val="00055EB7"/>
    <w:rsid w:val="00061314"/>
    <w:rsid w:val="000645ED"/>
    <w:rsid w:val="00070689"/>
    <w:rsid w:val="000710EE"/>
    <w:rsid w:val="000729D0"/>
    <w:rsid w:val="0008203A"/>
    <w:rsid w:val="0008644E"/>
    <w:rsid w:val="00095367"/>
    <w:rsid w:val="000A1DF9"/>
    <w:rsid w:val="000A3D23"/>
    <w:rsid w:val="000A52EA"/>
    <w:rsid w:val="000B0710"/>
    <w:rsid w:val="000B185F"/>
    <w:rsid w:val="000C0199"/>
    <w:rsid w:val="000C05F2"/>
    <w:rsid w:val="000C1ABE"/>
    <w:rsid w:val="000D0439"/>
    <w:rsid w:val="000D0B80"/>
    <w:rsid w:val="000D5543"/>
    <w:rsid w:val="000E139D"/>
    <w:rsid w:val="000E556E"/>
    <w:rsid w:val="000E63E2"/>
    <w:rsid w:val="000F0890"/>
    <w:rsid w:val="000F74CD"/>
    <w:rsid w:val="000F772B"/>
    <w:rsid w:val="00107F75"/>
    <w:rsid w:val="00110A9E"/>
    <w:rsid w:val="0011375A"/>
    <w:rsid w:val="0012435A"/>
    <w:rsid w:val="0012498E"/>
    <w:rsid w:val="00125417"/>
    <w:rsid w:val="001365F6"/>
    <w:rsid w:val="0014645A"/>
    <w:rsid w:val="001503D1"/>
    <w:rsid w:val="001647F0"/>
    <w:rsid w:val="00166AA9"/>
    <w:rsid w:val="00173143"/>
    <w:rsid w:val="00173C0C"/>
    <w:rsid w:val="00173C1F"/>
    <w:rsid w:val="001743D3"/>
    <w:rsid w:val="001752CB"/>
    <w:rsid w:val="00180945"/>
    <w:rsid w:val="00190573"/>
    <w:rsid w:val="00191F9B"/>
    <w:rsid w:val="0019419F"/>
    <w:rsid w:val="001A0651"/>
    <w:rsid w:val="001A0BE3"/>
    <w:rsid w:val="001A72E6"/>
    <w:rsid w:val="001A7D70"/>
    <w:rsid w:val="001B0970"/>
    <w:rsid w:val="001B0D94"/>
    <w:rsid w:val="001B292D"/>
    <w:rsid w:val="001B589D"/>
    <w:rsid w:val="001C091A"/>
    <w:rsid w:val="001D6EFD"/>
    <w:rsid w:val="001D722E"/>
    <w:rsid w:val="001D7F2E"/>
    <w:rsid w:val="001E0B70"/>
    <w:rsid w:val="001E46F9"/>
    <w:rsid w:val="001F0BAC"/>
    <w:rsid w:val="001F78D2"/>
    <w:rsid w:val="00201058"/>
    <w:rsid w:val="00201787"/>
    <w:rsid w:val="0020188D"/>
    <w:rsid w:val="00207316"/>
    <w:rsid w:val="0021279F"/>
    <w:rsid w:val="0021306C"/>
    <w:rsid w:val="00220977"/>
    <w:rsid w:val="00221670"/>
    <w:rsid w:val="002271E9"/>
    <w:rsid w:val="0023068B"/>
    <w:rsid w:val="00235A1E"/>
    <w:rsid w:val="002465FB"/>
    <w:rsid w:val="00247E57"/>
    <w:rsid w:val="002532C7"/>
    <w:rsid w:val="00254AAF"/>
    <w:rsid w:val="0026318E"/>
    <w:rsid w:val="00264EAB"/>
    <w:rsid w:val="002720F0"/>
    <w:rsid w:val="00285453"/>
    <w:rsid w:val="00290801"/>
    <w:rsid w:val="00293878"/>
    <w:rsid w:val="00294C67"/>
    <w:rsid w:val="002A4E6E"/>
    <w:rsid w:val="002A700B"/>
    <w:rsid w:val="002B203B"/>
    <w:rsid w:val="002B2360"/>
    <w:rsid w:val="002B460B"/>
    <w:rsid w:val="002B7AEF"/>
    <w:rsid w:val="002D1B16"/>
    <w:rsid w:val="002D2827"/>
    <w:rsid w:val="002D32DE"/>
    <w:rsid w:val="002D59DE"/>
    <w:rsid w:val="002D5B05"/>
    <w:rsid w:val="002D5B38"/>
    <w:rsid w:val="002E6623"/>
    <w:rsid w:val="002F029B"/>
    <w:rsid w:val="002F1AC3"/>
    <w:rsid w:val="002F5908"/>
    <w:rsid w:val="00300C49"/>
    <w:rsid w:val="00311B06"/>
    <w:rsid w:val="00313499"/>
    <w:rsid w:val="003140B8"/>
    <w:rsid w:val="00316085"/>
    <w:rsid w:val="0032446C"/>
    <w:rsid w:val="00325992"/>
    <w:rsid w:val="00331BDE"/>
    <w:rsid w:val="00331DEB"/>
    <w:rsid w:val="0033336D"/>
    <w:rsid w:val="0034120A"/>
    <w:rsid w:val="00345041"/>
    <w:rsid w:val="00351C40"/>
    <w:rsid w:val="00354E8A"/>
    <w:rsid w:val="00363030"/>
    <w:rsid w:val="0036541E"/>
    <w:rsid w:val="0036589F"/>
    <w:rsid w:val="00366342"/>
    <w:rsid w:val="0037148F"/>
    <w:rsid w:val="00377122"/>
    <w:rsid w:val="00380EA5"/>
    <w:rsid w:val="00386475"/>
    <w:rsid w:val="003A28EE"/>
    <w:rsid w:val="003A4C81"/>
    <w:rsid w:val="003B2743"/>
    <w:rsid w:val="003B333E"/>
    <w:rsid w:val="003B358D"/>
    <w:rsid w:val="003B4B76"/>
    <w:rsid w:val="003D1AB8"/>
    <w:rsid w:val="003D7D43"/>
    <w:rsid w:val="003E0459"/>
    <w:rsid w:val="003E211B"/>
    <w:rsid w:val="003E5DED"/>
    <w:rsid w:val="003F7C2A"/>
    <w:rsid w:val="004029CE"/>
    <w:rsid w:val="00403007"/>
    <w:rsid w:val="00405C6E"/>
    <w:rsid w:val="00426639"/>
    <w:rsid w:val="004272B8"/>
    <w:rsid w:val="00434E94"/>
    <w:rsid w:val="00446361"/>
    <w:rsid w:val="00447CFB"/>
    <w:rsid w:val="00450FD2"/>
    <w:rsid w:val="004522A7"/>
    <w:rsid w:val="004605E2"/>
    <w:rsid w:val="004626DF"/>
    <w:rsid w:val="00473C38"/>
    <w:rsid w:val="004774C7"/>
    <w:rsid w:val="0048292D"/>
    <w:rsid w:val="00485A53"/>
    <w:rsid w:val="004A0D30"/>
    <w:rsid w:val="004A1060"/>
    <w:rsid w:val="004A1665"/>
    <w:rsid w:val="004A4E3F"/>
    <w:rsid w:val="004A5870"/>
    <w:rsid w:val="004A68B9"/>
    <w:rsid w:val="004A7471"/>
    <w:rsid w:val="004A7C1D"/>
    <w:rsid w:val="004B1748"/>
    <w:rsid w:val="004C737F"/>
    <w:rsid w:val="004D1D91"/>
    <w:rsid w:val="004D258E"/>
    <w:rsid w:val="004E02FF"/>
    <w:rsid w:val="004E2B27"/>
    <w:rsid w:val="004E7A66"/>
    <w:rsid w:val="004F03EC"/>
    <w:rsid w:val="004F4EDF"/>
    <w:rsid w:val="0050278B"/>
    <w:rsid w:val="00507684"/>
    <w:rsid w:val="00512137"/>
    <w:rsid w:val="00512CA7"/>
    <w:rsid w:val="005237A7"/>
    <w:rsid w:val="0052660F"/>
    <w:rsid w:val="0053601A"/>
    <w:rsid w:val="0054486D"/>
    <w:rsid w:val="0055351B"/>
    <w:rsid w:val="00563BD1"/>
    <w:rsid w:val="00575260"/>
    <w:rsid w:val="00577CB7"/>
    <w:rsid w:val="0059165E"/>
    <w:rsid w:val="00597B63"/>
    <w:rsid w:val="005A0262"/>
    <w:rsid w:val="005A1BB7"/>
    <w:rsid w:val="005A225D"/>
    <w:rsid w:val="005B5551"/>
    <w:rsid w:val="005C14D7"/>
    <w:rsid w:val="005D2767"/>
    <w:rsid w:val="005D7D41"/>
    <w:rsid w:val="005E4E7B"/>
    <w:rsid w:val="005E6D73"/>
    <w:rsid w:val="005F19DA"/>
    <w:rsid w:val="005F7568"/>
    <w:rsid w:val="00601EDA"/>
    <w:rsid w:val="006033CA"/>
    <w:rsid w:val="00604CEB"/>
    <w:rsid w:val="00611925"/>
    <w:rsid w:val="006344A4"/>
    <w:rsid w:val="0063465C"/>
    <w:rsid w:val="0063681F"/>
    <w:rsid w:val="00650663"/>
    <w:rsid w:val="00651F8E"/>
    <w:rsid w:val="00654FF0"/>
    <w:rsid w:val="00655ECA"/>
    <w:rsid w:val="006567E9"/>
    <w:rsid w:val="00656FC4"/>
    <w:rsid w:val="00671BAD"/>
    <w:rsid w:val="00672440"/>
    <w:rsid w:val="006774EA"/>
    <w:rsid w:val="0068476C"/>
    <w:rsid w:val="00685339"/>
    <w:rsid w:val="006933AD"/>
    <w:rsid w:val="006948AB"/>
    <w:rsid w:val="006B34AE"/>
    <w:rsid w:val="006C17A3"/>
    <w:rsid w:val="006C6303"/>
    <w:rsid w:val="006D6EFE"/>
    <w:rsid w:val="00701E15"/>
    <w:rsid w:val="0070733B"/>
    <w:rsid w:val="0070799F"/>
    <w:rsid w:val="0071224E"/>
    <w:rsid w:val="00714BFF"/>
    <w:rsid w:val="007213F7"/>
    <w:rsid w:val="007305EC"/>
    <w:rsid w:val="00730E3D"/>
    <w:rsid w:val="007344F9"/>
    <w:rsid w:val="00735019"/>
    <w:rsid w:val="007364D2"/>
    <w:rsid w:val="007402D5"/>
    <w:rsid w:val="00742915"/>
    <w:rsid w:val="00743A17"/>
    <w:rsid w:val="00754495"/>
    <w:rsid w:val="00755DC1"/>
    <w:rsid w:val="00757CFC"/>
    <w:rsid w:val="00763D34"/>
    <w:rsid w:val="0077050B"/>
    <w:rsid w:val="00770E43"/>
    <w:rsid w:val="00782450"/>
    <w:rsid w:val="007839D0"/>
    <w:rsid w:val="007931F2"/>
    <w:rsid w:val="0079657A"/>
    <w:rsid w:val="007A088E"/>
    <w:rsid w:val="007A1403"/>
    <w:rsid w:val="007A18D1"/>
    <w:rsid w:val="007B0338"/>
    <w:rsid w:val="007B3E5D"/>
    <w:rsid w:val="007C1832"/>
    <w:rsid w:val="007C4260"/>
    <w:rsid w:val="007C79FC"/>
    <w:rsid w:val="007D0B08"/>
    <w:rsid w:val="007E1EF5"/>
    <w:rsid w:val="007E760A"/>
    <w:rsid w:val="007F3134"/>
    <w:rsid w:val="007F6B3A"/>
    <w:rsid w:val="00803A4B"/>
    <w:rsid w:val="00805C5E"/>
    <w:rsid w:val="008109B2"/>
    <w:rsid w:val="00821017"/>
    <w:rsid w:val="00821961"/>
    <w:rsid w:val="00827469"/>
    <w:rsid w:val="0082788E"/>
    <w:rsid w:val="008407BB"/>
    <w:rsid w:val="00847EF4"/>
    <w:rsid w:val="00853543"/>
    <w:rsid w:val="00856E56"/>
    <w:rsid w:val="008575CC"/>
    <w:rsid w:val="00867410"/>
    <w:rsid w:val="0087756F"/>
    <w:rsid w:val="00880044"/>
    <w:rsid w:val="00885C36"/>
    <w:rsid w:val="00894229"/>
    <w:rsid w:val="008A07B8"/>
    <w:rsid w:val="008B63D3"/>
    <w:rsid w:val="008B6B53"/>
    <w:rsid w:val="008C169D"/>
    <w:rsid w:val="008C2A0B"/>
    <w:rsid w:val="008C545A"/>
    <w:rsid w:val="008D0997"/>
    <w:rsid w:val="008D6BA6"/>
    <w:rsid w:val="008D7CF7"/>
    <w:rsid w:val="008F5DED"/>
    <w:rsid w:val="008F7095"/>
    <w:rsid w:val="008F7210"/>
    <w:rsid w:val="008F7649"/>
    <w:rsid w:val="00902053"/>
    <w:rsid w:val="0090650A"/>
    <w:rsid w:val="00911577"/>
    <w:rsid w:val="00911B08"/>
    <w:rsid w:val="009202CB"/>
    <w:rsid w:val="0092133F"/>
    <w:rsid w:val="009241E5"/>
    <w:rsid w:val="00930360"/>
    <w:rsid w:val="00932CBE"/>
    <w:rsid w:val="009332EF"/>
    <w:rsid w:val="00933340"/>
    <w:rsid w:val="00936B61"/>
    <w:rsid w:val="00944646"/>
    <w:rsid w:val="00957217"/>
    <w:rsid w:val="00970A77"/>
    <w:rsid w:val="00971318"/>
    <w:rsid w:val="00975883"/>
    <w:rsid w:val="00976839"/>
    <w:rsid w:val="00986983"/>
    <w:rsid w:val="00986C80"/>
    <w:rsid w:val="0099108D"/>
    <w:rsid w:val="00994110"/>
    <w:rsid w:val="0099586A"/>
    <w:rsid w:val="009A1509"/>
    <w:rsid w:val="009A6D78"/>
    <w:rsid w:val="009B4E97"/>
    <w:rsid w:val="009B53CB"/>
    <w:rsid w:val="009C1362"/>
    <w:rsid w:val="009D3B98"/>
    <w:rsid w:val="009D46FF"/>
    <w:rsid w:val="009E309C"/>
    <w:rsid w:val="009E470F"/>
    <w:rsid w:val="009E6B38"/>
    <w:rsid w:val="009F4E81"/>
    <w:rsid w:val="009F5AE5"/>
    <w:rsid w:val="009F7506"/>
    <w:rsid w:val="00A03E30"/>
    <w:rsid w:val="00A06AF5"/>
    <w:rsid w:val="00A076DC"/>
    <w:rsid w:val="00A321D4"/>
    <w:rsid w:val="00A36A1A"/>
    <w:rsid w:val="00A41B88"/>
    <w:rsid w:val="00A42FD4"/>
    <w:rsid w:val="00A43EA4"/>
    <w:rsid w:val="00A5176D"/>
    <w:rsid w:val="00A60D18"/>
    <w:rsid w:val="00A61878"/>
    <w:rsid w:val="00A63FF0"/>
    <w:rsid w:val="00A655E1"/>
    <w:rsid w:val="00A71AD7"/>
    <w:rsid w:val="00A869F9"/>
    <w:rsid w:val="00A91291"/>
    <w:rsid w:val="00AA319D"/>
    <w:rsid w:val="00AA6BBD"/>
    <w:rsid w:val="00AB3D7B"/>
    <w:rsid w:val="00AC1E5F"/>
    <w:rsid w:val="00AC4159"/>
    <w:rsid w:val="00AD2D19"/>
    <w:rsid w:val="00AD48D2"/>
    <w:rsid w:val="00AD6B21"/>
    <w:rsid w:val="00AD75F7"/>
    <w:rsid w:val="00AD7E97"/>
    <w:rsid w:val="00AE2F29"/>
    <w:rsid w:val="00AE427F"/>
    <w:rsid w:val="00AE55D6"/>
    <w:rsid w:val="00AE5B57"/>
    <w:rsid w:val="00AE6E17"/>
    <w:rsid w:val="00AF1440"/>
    <w:rsid w:val="00AF387F"/>
    <w:rsid w:val="00AF6A63"/>
    <w:rsid w:val="00AF7508"/>
    <w:rsid w:val="00AF7B85"/>
    <w:rsid w:val="00B133B1"/>
    <w:rsid w:val="00B15983"/>
    <w:rsid w:val="00B16080"/>
    <w:rsid w:val="00B17CC0"/>
    <w:rsid w:val="00B358DA"/>
    <w:rsid w:val="00B37C69"/>
    <w:rsid w:val="00B40210"/>
    <w:rsid w:val="00B4409C"/>
    <w:rsid w:val="00B44B94"/>
    <w:rsid w:val="00B52F26"/>
    <w:rsid w:val="00B661C3"/>
    <w:rsid w:val="00B708CD"/>
    <w:rsid w:val="00B709B7"/>
    <w:rsid w:val="00B71544"/>
    <w:rsid w:val="00B83328"/>
    <w:rsid w:val="00B84B6B"/>
    <w:rsid w:val="00B90094"/>
    <w:rsid w:val="00B910CC"/>
    <w:rsid w:val="00B95334"/>
    <w:rsid w:val="00BA0D4B"/>
    <w:rsid w:val="00BA2181"/>
    <w:rsid w:val="00BA2842"/>
    <w:rsid w:val="00BA4D46"/>
    <w:rsid w:val="00BA5262"/>
    <w:rsid w:val="00BB16EA"/>
    <w:rsid w:val="00BC3D17"/>
    <w:rsid w:val="00BC3D4B"/>
    <w:rsid w:val="00BD2BBF"/>
    <w:rsid w:val="00BD2F3C"/>
    <w:rsid w:val="00BD3E16"/>
    <w:rsid w:val="00BE3664"/>
    <w:rsid w:val="00BE491D"/>
    <w:rsid w:val="00BE7BD7"/>
    <w:rsid w:val="00BF2CB4"/>
    <w:rsid w:val="00BF3B75"/>
    <w:rsid w:val="00C059A5"/>
    <w:rsid w:val="00C1237E"/>
    <w:rsid w:val="00C20A8B"/>
    <w:rsid w:val="00C23403"/>
    <w:rsid w:val="00C33A37"/>
    <w:rsid w:val="00C33F80"/>
    <w:rsid w:val="00C41529"/>
    <w:rsid w:val="00C50004"/>
    <w:rsid w:val="00C530EA"/>
    <w:rsid w:val="00C610C5"/>
    <w:rsid w:val="00C64B89"/>
    <w:rsid w:val="00C76468"/>
    <w:rsid w:val="00C76A36"/>
    <w:rsid w:val="00C867CF"/>
    <w:rsid w:val="00C871D5"/>
    <w:rsid w:val="00C94DC1"/>
    <w:rsid w:val="00CB4ABD"/>
    <w:rsid w:val="00CB5AA5"/>
    <w:rsid w:val="00CD5BAA"/>
    <w:rsid w:val="00CD6019"/>
    <w:rsid w:val="00CE6EE8"/>
    <w:rsid w:val="00CE7115"/>
    <w:rsid w:val="00CF3EA1"/>
    <w:rsid w:val="00D0140E"/>
    <w:rsid w:val="00D163C7"/>
    <w:rsid w:val="00D17504"/>
    <w:rsid w:val="00D241C2"/>
    <w:rsid w:val="00D25B96"/>
    <w:rsid w:val="00D265DE"/>
    <w:rsid w:val="00D43B7E"/>
    <w:rsid w:val="00D50C84"/>
    <w:rsid w:val="00D51C39"/>
    <w:rsid w:val="00D573B9"/>
    <w:rsid w:val="00D851B8"/>
    <w:rsid w:val="00D92DCB"/>
    <w:rsid w:val="00D95895"/>
    <w:rsid w:val="00D97561"/>
    <w:rsid w:val="00DA167E"/>
    <w:rsid w:val="00DA17F6"/>
    <w:rsid w:val="00DB6D37"/>
    <w:rsid w:val="00DD0DD5"/>
    <w:rsid w:val="00DD4E26"/>
    <w:rsid w:val="00DD4EAD"/>
    <w:rsid w:val="00DD7855"/>
    <w:rsid w:val="00DE7629"/>
    <w:rsid w:val="00DF216B"/>
    <w:rsid w:val="00DF2F8C"/>
    <w:rsid w:val="00E01D71"/>
    <w:rsid w:val="00E051BA"/>
    <w:rsid w:val="00E05D59"/>
    <w:rsid w:val="00E071D8"/>
    <w:rsid w:val="00E20780"/>
    <w:rsid w:val="00E20F60"/>
    <w:rsid w:val="00E36946"/>
    <w:rsid w:val="00E418ED"/>
    <w:rsid w:val="00E45957"/>
    <w:rsid w:val="00E47F79"/>
    <w:rsid w:val="00E52E58"/>
    <w:rsid w:val="00E52F85"/>
    <w:rsid w:val="00E55797"/>
    <w:rsid w:val="00E64721"/>
    <w:rsid w:val="00E6646C"/>
    <w:rsid w:val="00E774DD"/>
    <w:rsid w:val="00EA799D"/>
    <w:rsid w:val="00EB039F"/>
    <w:rsid w:val="00EC2E3B"/>
    <w:rsid w:val="00ED2837"/>
    <w:rsid w:val="00F027FB"/>
    <w:rsid w:val="00F04CA0"/>
    <w:rsid w:val="00F078A8"/>
    <w:rsid w:val="00F10346"/>
    <w:rsid w:val="00F14AEA"/>
    <w:rsid w:val="00F25F58"/>
    <w:rsid w:val="00F37D94"/>
    <w:rsid w:val="00F629DB"/>
    <w:rsid w:val="00F85E95"/>
    <w:rsid w:val="00F874A2"/>
    <w:rsid w:val="00F917A5"/>
    <w:rsid w:val="00F942AA"/>
    <w:rsid w:val="00F9758A"/>
    <w:rsid w:val="00F975BC"/>
    <w:rsid w:val="00FA0A12"/>
    <w:rsid w:val="00FA389C"/>
    <w:rsid w:val="00FB1006"/>
    <w:rsid w:val="00FB3B12"/>
    <w:rsid w:val="00FC71C6"/>
    <w:rsid w:val="00FD1AF7"/>
    <w:rsid w:val="00FD7B8A"/>
    <w:rsid w:val="00FE2E04"/>
    <w:rsid w:val="00FF1F37"/>
    <w:rsid w:val="00FF78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A2740"/>
  <w15:chartTrackingRefBased/>
  <w15:docId w15:val="{AF928175-C194-4AA7-A092-AF3CD9716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41E"/>
    <w:pPr>
      <w:spacing w:before="240" w:after="120"/>
      <w:jc w:val="both"/>
    </w:pPr>
    <w:rPr>
      <w:rFonts w:ascii="Times New Roman" w:hAnsi="Times New Roman" w:cs="Times New Roman"/>
      <w:sz w:val="24"/>
      <w:szCs w:val="24"/>
    </w:rPr>
  </w:style>
  <w:style w:type="paragraph" w:styleId="Ttulo1">
    <w:name w:val="heading 1"/>
    <w:basedOn w:val="Normal"/>
    <w:next w:val="Normal"/>
    <w:link w:val="Ttulo1Car"/>
    <w:uiPriority w:val="9"/>
    <w:qFormat/>
    <w:rsid w:val="002F5908"/>
    <w:pPr>
      <w:keepNext/>
      <w:numPr>
        <w:numId w:val="1"/>
      </w:numPr>
      <w:spacing w:line="276" w:lineRule="auto"/>
      <w:ind w:left="426" w:hanging="360"/>
      <w:outlineLvl w:val="0"/>
    </w:pPr>
    <w:rPr>
      <w:rFonts w:eastAsia="Times New Roman"/>
      <w:b/>
      <w:bCs/>
      <w:color w:val="000000"/>
      <w:lang w:eastAsia="es-ES"/>
    </w:rPr>
  </w:style>
  <w:style w:type="paragraph" w:styleId="Ttulo2">
    <w:name w:val="heading 2"/>
    <w:basedOn w:val="Normal"/>
    <w:next w:val="Normal"/>
    <w:link w:val="Ttulo2Car"/>
    <w:uiPriority w:val="9"/>
    <w:unhideWhenUsed/>
    <w:qFormat/>
    <w:rsid w:val="002F5908"/>
    <w:pPr>
      <w:keepNext/>
      <w:numPr>
        <w:numId w:val="2"/>
      </w:numPr>
      <w:spacing w:after="0" w:line="276" w:lineRule="auto"/>
      <w:outlineLvl w:val="1"/>
    </w:pPr>
    <w:rPr>
      <w:rFonts w:eastAsia="Times New Roman"/>
      <w:b/>
      <w:bCs/>
      <w:lang w:eastAsia="es-ES"/>
    </w:rPr>
  </w:style>
  <w:style w:type="paragraph" w:styleId="Ttulo3">
    <w:name w:val="heading 3"/>
    <w:basedOn w:val="Normal"/>
    <w:next w:val="Normal"/>
    <w:link w:val="Ttulo3Car"/>
    <w:qFormat/>
    <w:rsid w:val="004D1D91"/>
    <w:pPr>
      <w:keepNext/>
      <w:spacing w:after="0" w:line="276" w:lineRule="auto"/>
      <w:outlineLvl w:val="2"/>
    </w:pPr>
    <w:rPr>
      <w:rFonts w:eastAsia="Times New Roman"/>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75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17504"/>
  </w:style>
  <w:style w:type="paragraph" w:styleId="Piedepgina">
    <w:name w:val="footer"/>
    <w:basedOn w:val="Normal"/>
    <w:link w:val="PiedepginaCar"/>
    <w:uiPriority w:val="99"/>
    <w:unhideWhenUsed/>
    <w:rsid w:val="00D175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34"/>
    <w:qFormat/>
    <w:rsid w:val="00FA0A12"/>
    <w:pPr>
      <w:ind w:left="720"/>
      <w:contextualSpacing/>
    </w:pPr>
  </w:style>
  <w:style w:type="paragraph" w:styleId="Textodeglobo">
    <w:name w:val="Balloon Text"/>
    <w:basedOn w:val="Normal"/>
    <w:link w:val="TextodegloboCar"/>
    <w:uiPriority w:val="99"/>
    <w:semiHidden/>
    <w:unhideWhenUsed/>
    <w:rsid w:val="000C01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4D1D91"/>
    <w:rPr>
      <w:rFonts w:ascii="Times New Roman" w:eastAsia="Times New Roman" w:hAnsi="Times New Roman" w:cs="Times New Roman"/>
      <w:b/>
      <w:bCs/>
      <w:lang w:eastAsia="es-ES"/>
    </w:rPr>
  </w:style>
  <w:style w:type="character" w:customStyle="1" w:styleId="Ttulo1Car">
    <w:name w:val="Título 1 Car"/>
    <w:basedOn w:val="Fuentedeprrafopredeter"/>
    <w:link w:val="Ttulo1"/>
    <w:uiPriority w:val="9"/>
    <w:rsid w:val="002F5908"/>
    <w:rPr>
      <w:rFonts w:ascii="Times New Roman" w:eastAsia="Times New Roman" w:hAnsi="Times New Roman" w:cs="Times New Roman"/>
      <w:b/>
      <w:bCs/>
      <w:color w:val="000000"/>
      <w:sz w:val="24"/>
      <w:szCs w:val="24"/>
      <w:lang w:eastAsia="es-ES"/>
    </w:rPr>
  </w:style>
  <w:style w:type="character" w:customStyle="1" w:styleId="Ttulo2Car">
    <w:name w:val="Título 2 Car"/>
    <w:basedOn w:val="Fuentedeprrafopredeter"/>
    <w:link w:val="Ttulo2"/>
    <w:uiPriority w:val="9"/>
    <w:rsid w:val="002F5908"/>
    <w:rPr>
      <w:rFonts w:ascii="Times New Roman" w:eastAsia="Times New Roman" w:hAnsi="Times New Roman" w:cs="Times New Roman"/>
      <w:b/>
      <w:bCs/>
      <w:sz w:val="24"/>
      <w:szCs w:val="24"/>
      <w:lang w:eastAsia="es-ES"/>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paragraph" w:styleId="TDC3">
    <w:name w:val="toc 3"/>
    <w:basedOn w:val="Normal"/>
    <w:next w:val="Normal"/>
    <w:autoRedefine/>
    <w:uiPriority w:val="39"/>
    <w:unhideWhenUsed/>
    <w:rsid w:val="004D1D91"/>
    <w:pPr>
      <w:spacing w:after="100"/>
      <w:ind w:left="440"/>
    </w:pPr>
  </w:style>
  <w:style w:type="character" w:styleId="Refdecomentario">
    <w:name w:val="annotation reference"/>
    <w:basedOn w:val="Fuentedeprrafopredeter"/>
    <w:uiPriority w:val="99"/>
    <w:semiHidden/>
    <w:unhideWhenUsed/>
    <w:rsid w:val="00B709B7"/>
    <w:rPr>
      <w:sz w:val="16"/>
      <w:szCs w:val="16"/>
    </w:rPr>
  </w:style>
  <w:style w:type="paragraph" w:styleId="Textocomentario">
    <w:name w:val="annotation text"/>
    <w:basedOn w:val="Normal"/>
    <w:link w:val="TextocomentarioCar"/>
    <w:uiPriority w:val="99"/>
    <w:unhideWhenUsed/>
    <w:rsid w:val="00B709B7"/>
    <w:pPr>
      <w:spacing w:line="240" w:lineRule="auto"/>
    </w:pPr>
    <w:rPr>
      <w:sz w:val="20"/>
      <w:szCs w:val="20"/>
    </w:rPr>
  </w:style>
  <w:style w:type="character" w:customStyle="1" w:styleId="TextocomentarioCar">
    <w:name w:val="Texto comentario Car"/>
    <w:basedOn w:val="Fuentedeprrafopredeter"/>
    <w:link w:val="Textocomentario"/>
    <w:uiPriority w:val="99"/>
    <w:rsid w:val="00B709B7"/>
    <w:rPr>
      <w:sz w:val="20"/>
      <w:szCs w:val="20"/>
    </w:rPr>
  </w:style>
  <w:style w:type="paragraph" w:styleId="Asuntodelcomentario">
    <w:name w:val="annotation subject"/>
    <w:basedOn w:val="Textocomentario"/>
    <w:next w:val="Textocomentario"/>
    <w:link w:val="AsuntodelcomentarioCar"/>
    <w:uiPriority w:val="99"/>
    <w:semiHidden/>
    <w:unhideWhenUsed/>
    <w:rsid w:val="00B709B7"/>
    <w:rPr>
      <w:b/>
      <w:bCs/>
    </w:rPr>
  </w:style>
  <w:style w:type="character" w:customStyle="1" w:styleId="AsuntodelcomentarioCar">
    <w:name w:val="Asunto del comentario Car"/>
    <w:basedOn w:val="TextocomentarioCar"/>
    <w:link w:val="Asuntodelcomentario"/>
    <w:uiPriority w:val="99"/>
    <w:semiHidden/>
    <w:rsid w:val="00B709B7"/>
    <w:rPr>
      <w:b/>
      <w:bCs/>
      <w:sz w:val="20"/>
      <w:szCs w:val="20"/>
    </w:rPr>
  </w:style>
  <w:style w:type="paragraph" w:styleId="Textonotapie">
    <w:name w:val="footnote text"/>
    <w:basedOn w:val="Normal"/>
    <w:link w:val="TextonotapieCar"/>
    <w:uiPriority w:val="99"/>
    <w:unhideWhenUsed/>
    <w:rsid w:val="0033336D"/>
    <w:pPr>
      <w:spacing w:after="0" w:line="240" w:lineRule="auto"/>
    </w:pPr>
    <w:rPr>
      <w:sz w:val="20"/>
      <w:szCs w:val="20"/>
    </w:rPr>
  </w:style>
  <w:style w:type="character" w:customStyle="1" w:styleId="TextonotapieCar">
    <w:name w:val="Texto nota pie Car"/>
    <w:basedOn w:val="Fuentedeprrafopredeter"/>
    <w:link w:val="Textonotapie"/>
    <w:uiPriority w:val="99"/>
    <w:rsid w:val="0033336D"/>
    <w:rPr>
      <w:sz w:val="20"/>
      <w:szCs w:val="20"/>
    </w:rPr>
  </w:style>
  <w:style w:type="character" w:styleId="Refdenotaalpie">
    <w:name w:val="footnote reference"/>
    <w:basedOn w:val="Fuentedeprrafopredeter"/>
    <w:uiPriority w:val="99"/>
    <w:semiHidden/>
    <w:unhideWhenUsed/>
    <w:rsid w:val="0033336D"/>
    <w:rPr>
      <w:vertAlign w:val="superscript"/>
    </w:rPr>
  </w:style>
  <w:style w:type="paragraph" w:styleId="Ttulo">
    <w:name w:val="Title"/>
    <w:basedOn w:val="Normal"/>
    <w:next w:val="Normal"/>
    <w:link w:val="TtuloCar"/>
    <w:uiPriority w:val="10"/>
    <w:qFormat/>
    <w:rsid w:val="007931F2"/>
    <w:pPr>
      <w:spacing w:after="0"/>
    </w:pPr>
    <w:rPr>
      <w:rFonts w:eastAsia="Times New Roman"/>
      <w:b/>
      <w:bCs/>
      <w:sz w:val="30"/>
      <w:szCs w:val="30"/>
    </w:rPr>
  </w:style>
  <w:style w:type="character" w:customStyle="1" w:styleId="TtuloCar">
    <w:name w:val="Título Car"/>
    <w:basedOn w:val="Fuentedeprrafopredeter"/>
    <w:link w:val="Ttulo"/>
    <w:uiPriority w:val="10"/>
    <w:rsid w:val="007931F2"/>
    <w:rPr>
      <w:rFonts w:ascii="Times New Roman" w:eastAsia="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76623">
      <w:bodyDiv w:val="1"/>
      <w:marLeft w:val="0"/>
      <w:marRight w:val="0"/>
      <w:marTop w:val="0"/>
      <w:marBottom w:val="0"/>
      <w:divBdr>
        <w:top w:val="none" w:sz="0" w:space="0" w:color="auto"/>
        <w:left w:val="none" w:sz="0" w:space="0" w:color="auto"/>
        <w:bottom w:val="none" w:sz="0" w:space="0" w:color="auto"/>
        <w:right w:val="none" w:sz="0" w:space="0" w:color="auto"/>
      </w:divBdr>
      <w:divsChild>
        <w:div w:id="251279863">
          <w:marLeft w:val="-2400"/>
          <w:marRight w:val="-480"/>
          <w:marTop w:val="0"/>
          <w:marBottom w:val="0"/>
          <w:divBdr>
            <w:top w:val="none" w:sz="0" w:space="0" w:color="auto"/>
            <w:left w:val="none" w:sz="0" w:space="0" w:color="auto"/>
            <w:bottom w:val="none" w:sz="0" w:space="0" w:color="auto"/>
            <w:right w:val="none" w:sz="0" w:space="0" w:color="auto"/>
          </w:divBdr>
        </w:div>
        <w:div w:id="1417048147">
          <w:marLeft w:val="-2400"/>
          <w:marRight w:val="-480"/>
          <w:marTop w:val="0"/>
          <w:marBottom w:val="0"/>
          <w:divBdr>
            <w:top w:val="none" w:sz="0" w:space="0" w:color="auto"/>
            <w:left w:val="none" w:sz="0" w:space="0" w:color="auto"/>
            <w:bottom w:val="none" w:sz="0" w:space="0" w:color="auto"/>
            <w:right w:val="none" w:sz="0" w:space="0" w:color="auto"/>
          </w:divBdr>
        </w:div>
        <w:div w:id="987901706">
          <w:marLeft w:val="-2400"/>
          <w:marRight w:val="-480"/>
          <w:marTop w:val="0"/>
          <w:marBottom w:val="0"/>
          <w:divBdr>
            <w:top w:val="none" w:sz="0" w:space="0" w:color="auto"/>
            <w:left w:val="none" w:sz="0" w:space="0" w:color="auto"/>
            <w:bottom w:val="none" w:sz="0" w:space="0" w:color="auto"/>
            <w:right w:val="none" w:sz="0" w:space="0" w:color="auto"/>
          </w:divBdr>
        </w:div>
        <w:div w:id="464087976">
          <w:marLeft w:val="-2400"/>
          <w:marRight w:val="-480"/>
          <w:marTop w:val="0"/>
          <w:marBottom w:val="0"/>
          <w:divBdr>
            <w:top w:val="none" w:sz="0" w:space="0" w:color="auto"/>
            <w:left w:val="none" w:sz="0" w:space="0" w:color="auto"/>
            <w:bottom w:val="none" w:sz="0" w:space="0" w:color="auto"/>
            <w:right w:val="none" w:sz="0" w:space="0" w:color="auto"/>
          </w:divBdr>
        </w:div>
        <w:div w:id="913853805">
          <w:marLeft w:val="-2400"/>
          <w:marRight w:val="-480"/>
          <w:marTop w:val="0"/>
          <w:marBottom w:val="0"/>
          <w:divBdr>
            <w:top w:val="none" w:sz="0" w:space="0" w:color="auto"/>
            <w:left w:val="none" w:sz="0" w:space="0" w:color="auto"/>
            <w:bottom w:val="none" w:sz="0" w:space="0" w:color="auto"/>
            <w:right w:val="none" w:sz="0" w:space="0" w:color="auto"/>
          </w:divBdr>
        </w:div>
        <w:div w:id="1564832498">
          <w:marLeft w:val="-2400"/>
          <w:marRight w:val="-480"/>
          <w:marTop w:val="0"/>
          <w:marBottom w:val="0"/>
          <w:divBdr>
            <w:top w:val="none" w:sz="0" w:space="0" w:color="auto"/>
            <w:left w:val="none" w:sz="0" w:space="0" w:color="auto"/>
            <w:bottom w:val="none" w:sz="0" w:space="0" w:color="auto"/>
            <w:right w:val="none" w:sz="0" w:space="0" w:color="auto"/>
          </w:divBdr>
        </w:div>
        <w:div w:id="1484925595">
          <w:marLeft w:val="-2400"/>
          <w:marRight w:val="-480"/>
          <w:marTop w:val="0"/>
          <w:marBottom w:val="0"/>
          <w:divBdr>
            <w:top w:val="none" w:sz="0" w:space="0" w:color="auto"/>
            <w:left w:val="none" w:sz="0" w:space="0" w:color="auto"/>
            <w:bottom w:val="none" w:sz="0" w:space="0" w:color="auto"/>
            <w:right w:val="none" w:sz="0" w:space="0" w:color="auto"/>
          </w:divBdr>
        </w:div>
      </w:divsChild>
    </w:div>
    <w:div w:id="1238899015">
      <w:bodyDiv w:val="1"/>
      <w:marLeft w:val="0"/>
      <w:marRight w:val="0"/>
      <w:marTop w:val="0"/>
      <w:marBottom w:val="0"/>
      <w:divBdr>
        <w:top w:val="none" w:sz="0" w:space="0" w:color="auto"/>
        <w:left w:val="none" w:sz="0" w:space="0" w:color="auto"/>
        <w:bottom w:val="none" w:sz="0" w:space="0" w:color="auto"/>
        <w:right w:val="none" w:sz="0" w:space="0" w:color="auto"/>
      </w:divBdr>
    </w:div>
    <w:div w:id="1257440549">
      <w:bodyDiv w:val="1"/>
      <w:marLeft w:val="0"/>
      <w:marRight w:val="0"/>
      <w:marTop w:val="0"/>
      <w:marBottom w:val="0"/>
      <w:divBdr>
        <w:top w:val="none" w:sz="0" w:space="0" w:color="auto"/>
        <w:left w:val="none" w:sz="0" w:space="0" w:color="auto"/>
        <w:bottom w:val="none" w:sz="0" w:space="0" w:color="auto"/>
        <w:right w:val="none" w:sz="0" w:space="0" w:color="auto"/>
      </w:divBdr>
    </w:div>
    <w:div w:id="1323968530">
      <w:bodyDiv w:val="1"/>
      <w:marLeft w:val="0"/>
      <w:marRight w:val="0"/>
      <w:marTop w:val="0"/>
      <w:marBottom w:val="0"/>
      <w:divBdr>
        <w:top w:val="none" w:sz="0" w:space="0" w:color="auto"/>
        <w:left w:val="none" w:sz="0" w:space="0" w:color="auto"/>
        <w:bottom w:val="none" w:sz="0" w:space="0" w:color="auto"/>
        <w:right w:val="none" w:sz="0" w:space="0" w:color="auto"/>
      </w:divBdr>
    </w:div>
    <w:div w:id="202821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6F97C-B50E-48FC-A8BC-B8F12871B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1849</Words>
  <Characters>10170</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Ugarte Colmenero.Alberto</cp:lastModifiedBy>
  <cp:revision>18</cp:revision>
  <dcterms:created xsi:type="dcterms:W3CDTF">2025-06-26T11:32:00Z</dcterms:created>
  <dcterms:modified xsi:type="dcterms:W3CDTF">2025-07-31T11:19:00Z</dcterms:modified>
</cp:coreProperties>
</file>