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1F20E8B0"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bookmarkEnd w:id="0"/>
      <w:r w:rsidR="00096838">
        <w:rPr>
          <w:rFonts w:asciiTheme="minorHAnsi" w:hAnsiTheme="minorHAnsi" w:cstheme="minorHAnsi"/>
          <w:i/>
          <w:sz w:val="24"/>
          <w:szCs w:val="24"/>
        </w:rPr>
        <w:t>I</w:t>
      </w:r>
      <w:r w:rsidR="00395B84">
        <w:rPr>
          <w:rFonts w:asciiTheme="minorHAnsi" w:hAnsiTheme="minorHAnsi" w:cstheme="minorHAnsi"/>
          <w:i/>
          <w:sz w:val="24"/>
          <w:szCs w:val="24"/>
        </w:rPr>
        <w:t xml:space="preserve">: </w:t>
      </w:r>
      <w:r w:rsidR="00AA24A2" w:rsidRPr="00AA24A2">
        <w:rPr>
          <w:rFonts w:asciiTheme="minorHAnsi" w:hAnsiTheme="minorHAnsi" w:cstheme="minorHAnsi"/>
          <w:i/>
          <w:sz w:val="24"/>
          <w:szCs w:val="24"/>
        </w:rPr>
        <w:t>PLAZOS DE SUMINISTRO Y FABRICANTE OFERTADO</w:t>
      </w:r>
    </w:p>
    <w:p w14:paraId="303ADA82" w14:textId="77777777" w:rsidR="00007C77" w:rsidRPr="00007C77" w:rsidRDefault="00007C77" w:rsidP="00007C77"/>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34A102A" w14:textId="77777777" w:rsidR="002231F0" w:rsidRDefault="002231F0" w:rsidP="002231F0">
      <w:pPr>
        <w:pStyle w:val="Textosinformato"/>
        <w:spacing w:after="120" w:line="312" w:lineRule="auto"/>
        <w:jc w:val="both"/>
        <w:rPr>
          <w:rFonts w:asciiTheme="minorHAnsi" w:hAnsiTheme="minorHAnsi" w:cstheme="minorHAnsi"/>
          <w:sz w:val="22"/>
          <w:szCs w:val="22"/>
        </w:rPr>
      </w:pP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2C697A6C"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w:t>
      </w:r>
      <w:r w:rsidR="00AA24A2">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se compromete al suministro de</w:t>
      </w:r>
      <w:r w:rsidR="00AA24A2">
        <w:rPr>
          <w:rFonts w:asciiTheme="minorHAnsi" w:hAnsiTheme="minorHAnsi" w:cstheme="minorHAnsi"/>
          <w:sz w:val="22"/>
          <w:szCs w:val="22"/>
        </w:rPr>
        <w:t xml:space="preserve"> repuestos de </w:t>
      </w:r>
      <w:r w:rsidR="00726432">
        <w:rPr>
          <w:rFonts w:asciiTheme="minorHAnsi" w:hAnsiTheme="minorHAnsi" w:cstheme="minorHAnsi"/>
          <w:sz w:val="22"/>
          <w:szCs w:val="22"/>
        </w:rPr>
        <w:t>l</w:t>
      </w:r>
      <w:r w:rsidR="00AA24A2">
        <w:rPr>
          <w:rFonts w:asciiTheme="minorHAnsi" w:hAnsiTheme="minorHAnsi" w:cstheme="minorHAnsi"/>
          <w:sz w:val="22"/>
          <w:szCs w:val="22"/>
        </w:rPr>
        <w:t>o</w:t>
      </w:r>
      <w:r w:rsidR="00726432">
        <w:rPr>
          <w:rFonts w:asciiTheme="minorHAnsi" w:hAnsiTheme="minorHAnsi" w:cstheme="minorHAnsi"/>
          <w:sz w:val="22"/>
          <w:szCs w:val="22"/>
        </w:rPr>
        <w:t xml:space="preserve">s </w:t>
      </w:r>
      <w:r w:rsidR="00AA24A2">
        <w:rPr>
          <w:rFonts w:asciiTheme="minorHAnsi" w:hAnsiTheme="minorHAnsi" w:cstheme="minorHAnsi"/>
          <w:sz w:val="22"/>
          <w:szCs w:val="22"/>
        </w:rPr>
        <w:t>fabricantes</w:t>
      </w:r>
      <w:r w:rsidRPr="00250456">
        <w:rPr>
          <w:rFonts w:asciiTheme="minorHAnsi" w:hAnsiTheme="minorHAnsi" w:cstheme="minorHAnsi"/>
          <w:sz w:val="22"/>
          <w:szCs w:val="22"/>
        </w:rPr>
        <w:t xml:space="preserve"> actualmente homologados por Metro de Madrid, y según los requerimientos establecidos en el Pliego de Prescripciones Técnicas.</w:t>
      </w:r>
    </w:p>
    <w:p w14:paraId="53505157" w14:textId="05E6B2CB" w:rsidR="00290B2B" w:rsidRPr="00250456" w:rsidRDefault="00290B2B" w:rsidP="00290B2B">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 nuevos y originales</w:t>
      </w:r>
      <w:r>
        <w:rPr>
          <w:rFonts w:asciiTheme="minorHAnsi" w:hAnsiTheme="minorHAnsi" w:cstheme="minorHAnsi"/>
          <w:sz w:val="22"/>
          <w:szCs w:val="22"/>
        </w:rPr>
        <w:t xml:space="preserve"> del fabricante</w:t>
      </w:r>
      <w:r w:rsidR="00AA24A2">
        <w:rPr>
          <w:rFonts w:asciiTheme="minorHAnsi" w:hAnsiTheme="minorHAnsi" w:cstheme="minorHAnsi"/>
          <w:sz w:val="22"/>
          <w:szCs w:val="22"/>
        </w:rPr>
        <w:t xml:space="preserve"> homologado</w:t>
      </w:r>
      <w:r>
        <w:rPr>
          <w:rFonts w:asciiTheme="minorHAnsi" w:hAnsiTheme="minorHAnsi" w:cstheme="minorHAnsi"/>
          <w:sz w:val="22"/>
          <w:szCs w:val="22"/>
        </w:rPr>
        <w:t xml:space="preserve"> ofertado.</w:t>
      </w:r>
    </w:p>
    <w:p w14:paraId="4097A3AF" w14:textId="2A3FB53A" w:rsidR="00BD7AC9" w:rsidRDefault="00BD7AC9" w:rsidP="00BD7AC9">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Los plazos de suministro no superarán las </w:t>
      </w:r>
      <w:r w:rsidR="00AA24A2">
        <w:rPr>
          <w:rFonts w:asciiTheme="minorHAnsi" w:hAnsiTheme="minorHAnsi" w:cstheme="minorHAnsi"/>
          <w:sz w:val="22"/>
          <w:szCs w:val="22"/>
        </w:rPr>
        <w:t>veinticuatro</w:t>
      </w:r>
      <w:r w:rsidR="00290B2B">
        <w:rPr>
          <w:rFonts w:asciiTheme="minorHAnsi" w:hAnsiTheme="minorHAnsi" w:cstheme="minorHAnsi"/>
          <w:sz w:val="22"/>
          <w:szCs w:val="22"/>
        </w:rPr>
        <w:t xml:space="preserve"> (</w:t>
      </w:r>
      <w:r w:rsidR="00AA24A2">
        <w:rPr>
          <w:rFonts w:asciiTheme="minorHAnsi" w:hAnsiTheme="minorHAnsi" w:cstheme="minorHAnsi"/>
          <w:sz w:val="22"/>
          <w:szCs w:val="22"/>
        </w:rPr>
        <w:t>24</w:t>
      </w:r>
      <w:r w:rsidR="00290B2B">
        <w:rPr>
          <w:rFonts w:asciiTheme="minorHAnsi" w:hAnsiTheme="minorHAnsi" w:cstheme="minorHAnsi"/>
          <w:sz w:val="22"/>
          <w:szCs w:val="22"/>
        </w:rPr>
        <w:t>)</w:t>
      </w:r>
      <w:r w:rsidRPr="00250456">
        <w:rPr>
          <w:rFonts w:asciiTheme="minorHAnsi" w:hAnsiTheme="minorHAnsi" w:cstheme="minorHAnsi"/>
          <w:sz w:val="22"/>
          <w:szCs w:val="22"/>
        </w:rPr>
        <w:t xml:space="preserve"> semanas establecidas y que durante la </w:t>
      </w:r>
      <w:r w:rsidR="00AC648B">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corresponderán a los que a continuación se indican: </w:t>
      </w:r>
    </w:p>
    <w:tbl>
      <w:tblPr>
        <w:tblW w:w="9073" w:type="dxa"/>
        <w:tblInd w:w="-1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060"/>
        <w:gridCol w:w="1917"/>
        <w:gridCol w:w="3260"/>
        <w:gridCol w:w="1418"/>
        <w:gridCol w:w="1418"/>
      </w:tblGrid>
      <w:tr w:rsidR="00290B2B" w:rsidRPr="004522F3" w14:paraId="3E220973" w14:textId="77777777" w:rsidTr="00AA24A2">
        <w:trPr>
          <w:trHeight w:val="468"/>
        </w:trPr>
        <w:tc>
          <w:tcPr>
            <w:tcW w:w="1060" w:type="dxa"/>
            <w:vMerge w:val="restart"/>
            <w:shd w:val="clear" w:color="000000" w:fill="548DD4"/>
            <w:vAlign w:val="center"/>
            <w:hideMark/>
          </w:tcPr>
          <w:p w14:paraId="3912AB0D" w14:textId="77777777" w:rsidR="00290B2B" w:rsidRPr="004522F3" w:rsidRDefault="00290B2B" w:rsidP="00AA24A2">
            <w:pPr>
              <w:spacing w:line="240" w:lineRule="auto"/>
              <w:jc w:val="center"/>
              <w:rPr>
                <w:rFonts w:eastAsia="Times New Roman" w:cs="Calibri"/>
                <w:b/>
                <w:bCs/>
                <w:color w:val="FFFFFF"/>
              </w:rPr>
            </w:pPr>
            <w:r w:rsidRPr="004522F3">
              <w:rPr>
                <w:rFonts w:eastAsia="Times New Roman" w:cs="Calibri"/>
                <w:b/>
                <w:bCs/>
                <w:color w:val="FFFFFF"/>
              </w:rPr>
              <w:t>REFERENCIA INTERNA METRO</w:t>
            </w:r>
          </w:p>
        </w:tc>
        <w:tc>
          <w:tcPr>
            <w:tcW w:w="1917" w:type="dxa"/>
            <w:vMerge w:val="restart"/>
            <w:shd w:val="clear" w:color="000000" w:fill="548DD4"/>
            <w:vAlign w:val="center"/>
            <w:hideMark/>
          </w:tcPr>
          <w:p w14:paraId="1C38E9EA" w14:textId="77777777" w:rsidR="00290B2B" w:rsidRPr="004522F3" w:rsidRDefault="00290B2B" w:rsidP="00AA24A2">
            <w:pPr>
              <w:spacing w:line="240" w:lineRule="auto"/>
              <w:jc w:val="center"/>
              <w:rPr>
                <w:rFonts w:eastAsia="Times New Roman" w:cs="Calibri"/>
                <w:b/>
                <w:bCs/>
                <w:color w:val="FFFFFF"/>
              </w:rPr>
            </w:pPr>
            <w:r w:rsidRPr="004522F3">
              <w:rPr>
                <w:rFonts w:eastAsia="Times New Roman" w:cs="Calibri"/>
                <w:b/>
                <w:bCs/>
                <w:color w:val="FFFFFF"/>
              </w:rPr>
              <w:t>DENOMINACIÓN</w:t>
            </w:r>
          </w:p>
        </w:tc>
        <w:tc>
          <w:tcPr>
            <w:tcW w:w="3260" w:type="dxa"/>
            <w:shd w:val="clear" w:color="000000" w:fill="548DD4"/>
            <w:vAlign w:val="center"/>
            <w:hideMark/>
          </w:tcPr>
          <w:p w14:paraId="4E7287D4" w14:textId="77777777" w:rsidR="00290B2B" w:rsidRPr="004522F3" w:rsidRDefault="00290B2B" w:rsidP="00AA24A2">
            <w:pPr>
              <w:spacing w:line="240" w:lineRule="auto"/>
              <w:jc w:val="center"/>
              <w:rPr>
                <w:rFonts w:eastAsia="Times New Roman" w:cs="Calibri"/>
                <w:b/>
                <w:bCs/>
                <w:color w:val="FFFFFF"/>
              </w:rPr>
            </w:pPr>
            <w:r w:rsidRPr="004522F3">
              <w:rPr>
                <w:rFonts w:eastAsia="Times New Roman" w:cs="Calibri"/>
                <w:b/>
                <w:bCs/>
                <w:color w:val="FFFFFF"/>
              </w:rPr>
              <w:t>FABRICANTE HOMOLOGADO</w:t>
            </w:r>
          </w:p>
        </w:tc>
        <w:tc>
          <w:tcPr>
            <w:tcW w:w="1418" w:type="dxa"/>
            <w:vMerge w:val="restart"/>
            <w:shd w:val="clear" w:color="000000" w:fill="548DD4"/>
            <w:vAlign w:val="center"/>
            <w:hideMark/>
          </w:tcPr>
          <w:p w14:paraId="1AD1B758" w14:textId="77777777" w:rsidR="00290B2B" w:rsidRPr="004522F3" w:rsidRDefault="00290B2B" w:rsidP="00AA24A2">
            <w:pPr>
              <w:spacing w:line="240" w:lineRule="auto"/>
              <w:jc w:val="center"/>
              <w:rPr>
                <w:rFonts w:eastAsia="Times New Roman" w:cs="Calibri"/>
                <w:b/>
                <w:bCs/>
                <w:color w:val="FFFFFF"/>
              </w:rPr>
            </w:pPr>
            <w:r w:rsidRPr="004522F3">
              <w:rPr>
                <w:rFonts w:eastAsia="Times New Roman" w:cs="Calibri"/>
                <w:b/>
                <w:bCs/>
                <w:color w:val="FFFFFF"/>
              </w:rPr>
              <w:t>Fabricante Ofertado (*)</w:t>
            </w:r>
          </w:p>
        </w:tc>
        <w:tc>
          <w:tcPr>
            <w:tcW w:w="1418" w:type="dxa"/>
            <w:vMerge w:val="restart"/>
            <w:shd w:val="clear" w:color="000000" w:fill="548DD4"/>
            <w:vAlign w:val="center"/>
            <w:hideMark/>
          </w:tcPr>
          <w:p w14:paraId="7A7370F3" w14:textId="77777777" w:rsidR="00290B2B" w:rsidRPr="004522F3" w:rsidRDefault="00290B2B" w:rsidP="00AA24A2">
            <w:pPr>
              <w:spacing w:line="240" w:lineRule="auto"/>
              <w:jc w:val="center"/>
              <w:rPr>
                <w:rFonts w:eastAsia="Times New Roman" w:cs="Calibri"/>
                <w:b/>
                <w:bCs/>
                <w:color w:val="FFFFFF" w:themeColor="background1"/>
              </w:rPr>
            </w:pPr>
            <w:r w:rsidRPr="004522F3">
              <w:rPr>
                <w:rFonts w:eastAsia="Times New Roman" w:cs="Calibri"/>
                <w:b/>
                <w:bCs/>
                <w:color w:val="FFFFFF" w:themeColor="background1"/>
              </w:rPr>
              <w:t>Plazo de Suministro</w:t>
            </w:r>
          </w:p>
          <w:p w14:paraId="39C10D25" w14:textId="4636288C" w:rsidR="00290B2B" w:rsidRPr="004522F3" w:rsidRDefault="00290B2B" w:rsidP="00AA24A2">
            <w:pPr>
              <w:spacing w:line="240" w:lineRule="auto"/>
              <w:jc w:val="center"/>
              <w:rPr>
                <w:rFonts w:eastAsia="Times New Roman" w:cs="Calibri"/>
                <w:b/>
                <w:bCs/>
                <w:color w:val="FFFFFF" w:themeColor="background1"/>
              </w:rPr>
            </w:pPr>
            <w:r w:rsidRPr="004522F3">
              <w:rPr>
                <w:rFonts w:eastAsia="Times New Roman" w:cs="Calibri"/>
                <w:b/>
                <w:bCs/>
                <w:color w:val="FFFFFF" w:themeColor="background1"/>
              </w:rPr>
              <w:t>(</w:t>
            </w:r>
            <w:r w:rsidR="00A858DC">
              <w:rPr>
                <w:rFonts w:eastAsia="Times New Roman" w:cs="Calibri"/>
                <w:b/>
                <w:bCs/>
                <w:color w:val="FFFFFF" w:themeColor="background1"/>
              </w:rPr>
              <w:t>semanas</w:t>
            </w:r>
            <w:r w:rsidRPr="004522F3">
              <w:rPr>
                <w:rFonts w:eastAsia="Times New Roman" w:cs="Calibri"/>
                <w:b/>
                <w:bCs/>
                <w:color w:val="FFFFFF" w:themeColor="background1"/>
              </w:rPr>
              <w:t>) (**)</w:t>
            </w:r>
          </w:p>
        </w:tc>
      </w:tr>
      <w:tr w:rsidR="00290B2B" w:rsidRPr="004522F3" w14:paraId="68A4B235" w14:textId="77777777" w:rsidTr="00AA24A2">
        <w:trPr>
          <w:trHeight w:val="516"/>
        </w:trPr>
        <w:tc>
          <w:tcPr>
            <w:tcW w:w="1060" w:type="dxa"/>
            <w:vMerge/>
            <w:vAlign w:val="center"/>
            <w:hideMark/>
          </w:tcPr>
          <w:p w14:paraId="3AD165C8" w14:textId="77777777" w:rsidR="00290B2B" w:rsidRPr="004522F3" w:rsidRDefault="00290B2B" w:rsidP="00AA24A2">
            <w:pPr>
              <w:spacing w:line="240" w:lineRule="auto"/>
              <w:jc w:val="center"/>
              <w:rPr>
                <w:rFonts w:eastAsia="Times New Roman" w:cs="Calibri"/>
                <w:b/>
                <w:bCs/>
                <w:color w:val="FFFFFF"/>
              </w:rPr>
            </w:pPr>
          </w:p>
        </w:tc>
        <w:tc>
          <w:tcPr>
            <w:tcW w:w="1917" w:type="dxa"/>
            <w:vMerge/>
            <w:vAlign w:val="center"/>
            <w:hideMark/>
          </w:tcPr>
          <w:p w14:paraId="0E3A7DCE" w14:textId="77777777" w:rsidR="00290B2B" w:rsidRPr="004522F3" w:rsidRDefault="00290B2B" w:rsidP="00AA24A2">
            <w:pPr>
              <w:spacing w:line="240" w:lineRule="auto"/>
              <w:jc w:val="center"/>
              <w:rPr>
                <w:rFonts w:eastAsia="Times New Roman" w:cs="Calibri"/>
                <w:b/>
                <w:bCs/>
                <w:color w:val="FFFFFF"/>
              </w:rPr>
            </w:pPr>
          </w:p>
        </w:tc>
        <w:tc>
          <w:tcPr>
            <w:tcW w:w="3260" w:type="dxa"/>
            <w:shd w:val="clear" w:color="000000" w:fill="548DD4"/>
            <w:vAlign w:val="center"/>
            <w:hideMark/>
          </w:tcPr>
          <w:p w14:paraId="74F8FAA2" w14:textId="26BE5845" w:rsidR="00290B2B" w:rsidRPr="004522F3" w:rsidRDefault="00290B2B" w:rsidP="00AA24A2">
            <w:pPr>
              <w:spacing w:line="240" w:lineRule="auto"/>
              <w:jc w:val="center"/>
              <w:rPr>
                <w:rFonts w:eastAsia="Times New Roman" w:cs="Calibri"/>
                <w:b/>
                <w:bCs/>
                <w:color w:val="FFFFFF"/>
              </w:rPr>
            </w:pPr>
            <w:r w:rsidRPr="004522F3">
              <w:rPr>
                <w:rFonts w:eastAsia="Times New Roman" w:cs="Calibri"/>
                <w:b/>
                <w:bCs/>
                <w:color w:val="FFFFFF"/>
              </w:rPr>
              <w:t>Fabricante 1</w:t>
            </w:r>
          </w:p>
        </w:tc>
        <w:tc>
          <w:tcPr>
            <w:tcW w:w="1418" w:type="dxa"/>
            <w:vMerge/>
            <w:vAlign w:val="center"/>
            <w:hideMark/>
          </w:tcPr>
          <w:p w14:paraId="0EB41EE7" w14:textId="77777777" w:rsidR="00290B2B" w:rsidRPr="004522F3" w:rsidRDefault="00290B2B" w:rsidP="00AA24A2">
            <w:pPr>
              <w:spacing w:line="240" w:lineRule="auto"/>
              <w:jc w:val="center"/>
              <w:rPr>
                <w:rFonts w:eastAsia="Times New Roman" w:cs="Calibri"/>
                <w:b/>
                <w:bCs/>
                <w:color w:val="FFFFFF"/>
              </w:rPr>
            </w:pPr>
          </w:p>
        </w:tc>
        <w:tc>
          <w:tcPr>
            <w:tcW w:w="1418" w:type="dxa"/>
            <w:vMerge/>
            <w:shd w:val="clear" w:color="000000" w:fill="548DD4"/>
            <w:vAlign w:val="center"/>
            <w:hideMark/>
          </w:tcPr>
          <w:p w14:paraId="2F1235BF" w14:textId="77777777" w:rsidR="00290B2B" w:rsidRPr="004522F3" w:rsidRDefault="00290B2B" w:rsidP="00AA24A2">
            <w:pPr>
              <w:spacing w:line="240" w:lineRule="auto"/>
              <w:jc w:val="center"/>
              <w:rPr>
                <w:rFonts w:eastAsia="Times New Roman" w:cs="Calibri"/>
                <w:b/>
                <w:bCs/>
                <w:color w:val="FFFFFF" w:themeColor="background1"/>
              </w:rPr>
            </w:pPr>
          </w:p>
        </w:tc>
      </w:tr>
      <w:tr w:rsidR="00290B2B" w:rsidRPr="004522F3" w14:paraId="41AE0762" w14:textId="77777777" w:rsidTr="00AA24A2">
        <w:trPr>
          <w:trHeight w:val="343"/>
        </w:trPr>
        <w:tc>
          <w:tcPr>
            <w:tcW w:w="1060" w:type="dxa"/>
            <w:shd w:val="clear" w:color="auto" w:fill="DBE5F1" w:themeFill="accent1" w:themeFillTint="33"/>
            <w:noWrap/>
            <w:vAlign w:val="center"/>
          </w:tcPr>
          <w:p w14:paraId="11558295" w14:textId="43013BC9" w:rsidR="00290B2B" w:rsidRPr="004522F3" w:rsidRDefault="00290B2B" w:rsidP="00AA24A2">
            <w:pPr>
              <w:spacing w:line="240" w:lineRule="auto"/>
              <w:jc w:val="center"/>
              <w:rPr>
                <w:rFonts w:eastAsia="Times New Roman" w:cs="Calibri"/>
                <w:color w:val="000000"/>
              </w:rPr>
            </w:pPr>
            <w:r w:rsidRPr="00290B2B">
              <w:rPr>
                <w:rFonts w:eastAsia="Times New Roman" w:cs="Calibri"/>
                <w:color w:val="000000"/>
              </w:rPr>
              <w:t>099903</w:t>
            </w:r>
          </w:p>
        </w:tc>
        <w:tc>
          <w:tcPr>
            <w:tcW w:w="1917" w:type="dxa"/>
            <w:shd w:val="clear" w:color="auto" w:fill="DBE5F1" w:themeFill="accent1" w:themeFillTint="33"/>
            <w:noWrap/>
            <w:vAlign w:val="center"/>
          </w:tcPr>
          <w:p w14:paraId="187F541D" w14:textId="23CCE0A0" w:rsidR="00290B2B" w:rsidRPr="004522F3" w:rsidRDefault="00290B2B" w:rsidP="00AA24A2">
            <w:pPr>
              <w:spacing w:line="240" w:lineRule="auto"/>
              <w:jc w:val="center"/>
              <w:rPr>
                <w:rFonts w:eastAsia="Times New Roman" w:cs="Calibri"/>
                <w:color w:val="000000"/>
              </w:rPr>
            </w:pPr>
            <w:r w:rsidRPr="00290B2B">
              <w:rPr>
                <w:rFonts w:eastAsia="Times New Roman" w:cs="Calibri"/>
                <w:color w:val="000000"/>
              </w:rPr>
              <w:t>RUEDA INSONORIZADA</w:t>
            </w:r>
          </w:p>
        </w:tc>
        <w:tc>
          <w:tcPr>
            <w:tcW w:w="3260" w:type="dxa"/>
            <w:shd w:val="clear" w:color="auto" w:fill="DBE5F1" w:themeFill="accent1" w:themeFillTint="33"/>
            <w:vAlign w:val="center"/>
          </w:tcPr>
          <w:p w14:paraId="67CAA909" w14:textId="3BC17D0E" w:rsidR="00290B2B" w:rsidRPr="004522F3" w:rsidRDefault="00AA24A2" w:rsidP="00AA24A2">
            <w:pPr>
              <w:spacing w:line="240" w:lineRule="auto"/>
              <w:jc w:val="center"/>
              <w:rPr>
                <w:rFonts w:eastAsia="Times New Roman" w:cs="Calibri"/>
                <w:color w:val="000000"/>
              </w:rPr>
            </w:pPr>
            <w:r w:rsidRPr="00AA24A2">
              <w:rPr>
                <w:rFonts w:eastAsia="Times New Roman" w:cs="Calibri"/>
                <w:color w:val="000000"/>
              </w:rPr>
              <w:t>Fabricante 1: CONSTRUCCIONES Y AUXILIAR DE FERROCARRILES, S.A. (C.A.F.)</w:t>
            </w:r>
          </w:p>
        </w:tc>
        <w:tc>
          <w:tcPr>
            <w:tcW w:w="1418" w:type="dxa"/>
            <w:shd w:val="clear" w:color="auto" w:fill="FFFFFF" w:themeFill="background1"/>
            <w:vAlign w:val="center"/>
            <w:hideMark/>
          </w:tcPr>
          <w:p w14:paraId="64C3A991" w14:textId="6F4D1C51" w:rsidR="00290B2B" w:rsidRPr="004522F3" w:rsidRDefault="00290B2B" w:rsidP="00AA24A2">
            <w:pPr>
              <w:spacing w:line="240" w:lineRule="auto"/>
              <w:jc w:val="center"/>
              <w:rPr>
                <w:rFonts w:eastAsia="Times New Roman" w:cs="Calibri"/>
                <w:color w:val="000000"/>
              </w:rPr>
            </w:pPr>
          </w:p>
        </w:tc>
        <w:tc>
          <w:tcPr>
            <w:tcW w:w="1418" w:type="dxa"/>
            <w:shd w:val="clear" w:color="auto" w:fill="FFFFFF" w:themeFill="background1"/>
            <w:vAlign w:val="center"/>
            <w:hideMark/>
          </w:tcPr>
          <w:p w14:paraId="414CFDB6" w14:textId="7C4433AD" w:rsidR="00290B2B" w:rsidRPr="004522F3" w:rsidRDefault="00290B2B" w:rsidP="00AA24A2">
            <w:pPr>
              <w:spacing w:line="240" w:lineRule="auto"/>
              <w:jc w:val="center"/>
              <w:rPr>
                <w:rFonts w:eastAsia="Times New Roman" w:cs="Calibri"/>
                <w:color w:val="000000"/>
              </w:rPr>
            </w:pPr>
          </w:p>
        </w:tc>
      </w:tr>
      <w:tr w:rsidR="00290B2B" w:rsidRPr="004522F3" w14:paraId="1128B793" w14:textId="77777777" w:rsidTr="00AA24A2">
        <w:trPr>
          <w:trHeight w:val="343"/>
        </w:trPr>
        <w:tc>
          <w:tcPr>
            <w:tcW w:w="1060" w:type="dxa"/>
            <w:shd w:val="clear" w:color="auto" w:fill="DBE5F1" w:themeFill="accent1" w:themeFillTint="33"/>
            <w:noWrap/>
            <w:vAlign w:val="center"/>
          </w:tcPr>
          <w:p w14:paraId="09644BEF" w14:textId="286CF2C2" w:rsidR="00290B2B" w:rsidRPr="004522F3" w:rsidRDefault="00290B2B" w:rsidP="00AA24A2">
            <w:pPr>
              <w:spacing w:line="240" w:lineRule="auto"/>
              <w:jc w:val="center"/>
              <w:rPr>
                <w:rFonts w:eastAsia="Times New Roman" w:cs="Calibri"/>
                <w:color w:val="000000"/>
              </w:rPr>
            </w:pPr>
            <w:r w:rsidRPr="00290B2B">
              <w:rPr>
                <w:rFonts w:eastAsia="Times New Roman" w:cs="Calibri"/>
                <w:color w:val="000000"/>
              </w:rPr>
              <w:t>09990</w:t>
            </w:r>
            <w:r>
              <w:rPr>
                <w:rFonts w:eastAsia="Times New Roman" w:cs="Calibri"/>
                <w:color w:val="000000"/>
              </w:rPr>
              <w:t>4</w:t>
            </w:r>
          </w:p>
        </w:tc>
        <w:tc>
          <w:tcPr>
            <w:tcW w:w="1917" w:type="dxa"/>
            <w:shd w:val="clear" w:color="auto" w:fill="DBE5F1" w:themeFill="accent1" w:themeFillTint="33"/>
            <w:noWrap/>
            <w:vAlign w:val="center"/>
          </w:tcPr>
          <w:p w14:paraId="67C1C4B9" w14:textId="0DCD373C" w:rsidR="00290B2B" w:rsidRPr="004522F3" w:rsidRDefault="00290B2B" w:rsidP="00AA24A2">
            <w:pPr>
              <w:spacing w:line="240" w:lineRule="auto"/>
              <w:jc w:val="center"/>
              <w:rPr>
                <w:rFonts w:eastAsia="Times New Roman" w:cs="Calibri"/>
                <w:color w:val="000000"/>
              </w:rPr>
            </w:pPr>
            <w:r w:rsidRPr="00290B2B">
              <w:rPr>
                <w:rFonts w:eastAsia="Times New Roman" w:cs="Calibri"/>
                <w:color w:val="000000"/>
              </w:rPr>
              <w:t>RUEDA INSONORIZACION V.S.G.</w:t>
            </w:r>
          </w:p>
        </w:tc>
        <w:tc>
          <w:tcPr>
            <w:tcW w:w="3260" w:type="dxa"/>
            <w:shd w:val="clear" w:color="auto" w:fill="DBE5F1" w:themeFill="accent1" w:themeFillTint="33"/>
            <w:vAlign w:val="center"/>
          </w:tcPr>
          <w:p w14:paraId="0FA4D031" w14:textId="7B44376F" w:rsidR="00290B2B" w:rsidRPr="004522F3" w:rsidRDefault="00AA24A2" w:rsidP="00AA24A2">
            <w:pPr>
              <w:spacing w:line="240" w:lineRule="auto"/>
              <w:jc w:val="center"/>
              <w:rPr>
                <w:rFonts w:eastAsia="Times New Roman" w:cs="Calibri"/>
                <w:color w:val="000000"/>
              </w:rPr>
            </w:pPr>
            <w:r w:rsidRPr="00AA24A2">
              <w:rPr>
                <w:rFonts w:eastAsia="Times New Roman" w:cs="Calibri"/>
                <w:color w:val="000000"/>
              </w:rPr>
              <w:t>Fabricante 1: CONSTRUCCIONES Y AUXILIAR DE FERROCARRILES, S.A. (C.A.F.)</w:t>
            </w:r>
          </w:p>
        </w:tc>
        <w:tc>
          <w:tcPr>
            <w:tcW w:w="1418" w:type="dxa"/>
            <w:shd w:val="clear" w:color="auto" w:fill="FFFFFF" w:themeFill="background1"/>
            <w:vAlign w:val="center"/>
          </w:tcPr>
          <w:p w14:paraId="40D39941" w14:textId="77777777" w:rsidR="00290B2B" w:rsidRPr="004522F3" w:rsidRDefault="00290B2B" w:rsidP="00AA24A2">
            <w:pPr>
              <w:spacing w:line="240" w:lineRule="auto"/>
              <w:jc w:val="center"/>
              <w:rPr>
                <w:rFonts w:eastAsia="Times New Roman" w:cs="Calibri"/>
                <w:color w:val="000000"/>
              </w:rPr>
            </w:pPr>
          </w:p>
        </w:tc>
        <w:tc>
          <w:tcPr>
            <w:tcW w:w="1418" w:type="dxa"/>
            <w:shd w:val="clear" w:color="auto" w:fill="FFFFFF" w:themeFill="background1"/>
            <w:vAlign w:val="center"/>
          </w:tcPr>
          <w:p w14:paraId="10AB27F6" w14:textId="77777777" w:rsidR="00290B2B" w:rsidRPr="004522F3" w:rsidRDefault="00290B2B" w:rsidP="00AA24A2">
            <w:pPr>
              <w:spacing w:line="240" w:lineRule="auto"/>
              <w:jc w:val="center"/>
              <w:rPr>
                <w:rFonts w:eastAsia="Times New Roman" w:cs="Calibri"/>
                <w:color w:val="000000"/>
              </w:rPr>
            </w:pPr>
          </w:p>
        </w:tc>
      </w:tr>
      <w:tr w:rsidR="00290B2B" w:rsidRPr="004522F3" w14:paraId="79BE46BA" w14:textId="77777777" w:rsidTr="00AA24A2">
        <w:trPr>
          <w:trHeight w:val="343"/>
        </w:trPr>
        <w:tc>
          <w:tcPr>
            <w:tcW w:w="1060" w:type="dxa"/>
            <w:shd w:val="clear" w:color="auto" w:fill="DBE5F1" w:themeFill="accent1" w:themeFillTint="33"/>
            <w:noWrap/>
            <w:vAlign w:val="center"/>
          </w:tcPr>
          <w:p w14:paraId="504AD43B" w14:textId="69201AAB" w:rsidR="00290B2B" w:rsidRPr="004522F3" w:rsidRDefault="00290B2B" w:rsidP="00AA24A2">
            <w:pPr>
              <w:spacing w:line="240" w:lineRule="auto"/>
              <w:jc w:val="center"/>
              <w:rPr>
                <w:rFonts w:eastAsia="Times New Roman" w:cs="Calibri"/>
                <w:color w:val="000000"/>
              </w:rPr>
            </w:pPr>
            <w:r w:rsidRPr="00290B2B">
              <w:rPr>
                <w:rFonts w:eastAsia="Times New Roman" w:cs="Calibri"/>
                <w:color w:val="000000"/>
              </w:rPr>
              <w:t>09990</w:t>
            </w:r>
            <w:r>
              <w:rPr>
                <w:rFonts w:eastAsia="Times New Roman" w:cs="Calibri"/>
                <w:color w:val="000000"/>
              </w:rPr>
              <w:t>5</w:t>
            </w:r>
          </w:p>
        </w:tc>
        <w:tc>
          <w:tcPr>
            <w:tcW w:w="1917" w:type="dxa"/>
            <w:shd w:val="clear" w:color="auto" w:fill="DBE5F1" w:themeFill="accent1" w:themeFillTint="33"/>
            <w:noWrap/>
            <w:vAlign w:val="center"/>
          </w:tcPr>
          <w:p w14:paraId="61BCC1A2" w14:textId="6D040CF9" w:rsidR="00290B2B" w:rsidRPr="004522F3" w:rsidRDefault="00290B2B" w:rsidP="00AA24A2">
            <w:pPr>
              <w:spacing w:line="240" w:lineRule="auto"/>
              <w:jc w:val="center"/>
              <w:rPr>
                <w:rFonts w:eastAsia="Times New Roman" w:cs="Calibri"/>
                <w:color w:val="000000"/>
              </w:rPr>
            </w:pPr>
            <w:r w:rsidRPr="00290B2B">
              <w:rPr>
                <w:rFonts w:eastAsia="Times New Roman" w:cs="Calibri"/>
                <w:color w:val="000000"/>
              </w:rPr>
              <w:t>RUEDA SEMIACABADA 7000</w:t>
            </w:r>
          </w:p>
        </w:tc>
        <w:tc>
          <w:tcPr>
            <w:tcW w:w="3260" w:type="dxa"/>
            <w:shd w:val="clear" w:color="auto" w:fill="DBE5F1" w:themeFill="accent1" w:themeFillTint="33"/>
            <w:vAlign w:val="center"/>
          </w:tcPr>
          <w:p w14:paraId="215D5AC4" w14:textId="0674B451" w:rsidR="00290B2B" w:rsidRPr="004522F3" w:rsidRDefault="00AA24A2" w:rsidP="00AA24A2">
            <w:pPr>
              <w:spacing w:line="240" w:lineRule="auto"/>
              <w:jc w:val="center"/>
              <w:rPr>
                <w:rFonts w:eastAsia="Times New Roman" w:cs="Calibri"/>
                <w:color w:val="000000"/>
              </w:rPr>
            </w:pPr>
            <w:r w:rsidRPr="00AA24A2">
              <w:rPr>
                <w:rFonts w:eastAsia="Times New Roman" w:cs="Calibri"/>
                <w:color w:val="000000"/>
              </w:rPr>
              <w:t>Fabricante 1: CONSTRUCCIONES Y AUXILIAR DE FERROCARRILES, S.A. (C.A.F.)</w:t>
            </w:r>
          </w:p>
        </w:tc>
        <w:tc>
          <w:tcPr>
            <w:tcW w:w="1418" w:type="dxa"/>
            <w:shd w:val="clear" w:color="auto" w:fill="FFFFFF" w:themeFill="background1"/>
            <w:vAlign w:val="center"/>
          </w:tcPr>
          <w:p w14:paraId="156FCECC" w14:textId="77777777" w:rsidR="00290B2B" w:rsidRPr="004522F3" w:rsidRDefault="00290B2B" w:rsidP="00AA24A2">
            <w:pPr>
              <w:spacing w:line="240" w:lineRule="auto"/>
              <w:jc w:val="center"/>
              <w:rPr>
                <w:rFonts w:eastAsia="Times New Roman" w:cs="Calibri"/>
                <w:color w:val="000000"/>
              </w:rPr>
            </w:pPr>
          </w:p>
        </w:tc>
        <w:tc>
          <w:tcPr>
            <w:tcW w:w="1418" w:type="dxa"/>
            <w:shd w:val="clear" w:color="auto" w:fill="FFFFFF" w:themeFill="background1"/>
            <w:vAlign w:val="center"/>
          </w:tcPr>
          <w:p w14:paraId="7D5D276C" w14:textId="77777777" w:rsidR="00290B2B" w:rsidRPr="004522F3" w:rsidRDefault="00290B2B" w:rsidP="00AA24A2">
            <w:pPr>
              <w:spacing w:line="240" w:lineRule="auto"/>
              <w:jc w:val="center"/>
              <w:rPr>
                <w:rFonts w:eastAsia="Times New Roman" w:cs="Calibri"/>
                <w:color w:val="000000"/>
              </w:rPr>
            </w:pPr>
          </w:p>
        </w:tc>
      </w:tr>
    </w:tbl>
    <w:p w14:paraId="73B9C6F5" w14:textId="77777777" w:rsidR="00290B2B" w:rsidRDefault="00290B2B" w:rsidP="00BD7AC9">
      <w:pPr>
        <w:pStyle w:val="Textosinformato"/>
        <w:spacing w:after="120" w:line="312" w:lineRule="auto"/>
        <w:ind w:left="720"/>
        <w:jc w:val="both"/>
        <w:rPr>
          <w:rFonts w:asciiTheme="minorHAnsi" w:hAnsiTheme="minorHAnsi" w:cstheme="minorHAnsi"/>
          <w:i/>
          <w:sz w:val="18"/>
          <w:szCs w:val="18"/>
        </w:rPr>
      </w:pPr>
    </w:p>
    <w:p w14:paraId="5DF3AD4C" w14:textId="4F3843FE" w:rsidR="00390226" w:rsidRDefault="00390226" w:rsidP="00BD7AC9">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6FE5DBA9" w14:textId="4A54220C" w:rsidR="00554683" w:rsidRPr="00AA24A2" w:rsidRDefault="00554683" w:rsidP="00390226">
      <w:pPr>
        <w:pStyle w:val="Textosinformato"/>
        <w:numPr>
          <w:ilvl w:val="0"/>
          <w:numId w:val="11"/>
        </w:numPr>
        <w:spacing w:after="120" w:line="312" w:lineRule="auto"/>
        <w:jc w:val="both"/>
        <w:rPr>
          <w:rFonts w:asciiTheme="minorHAnsi" w:hAnsiTheme="minorHAnsi" w:cstheme="minorHAnsi"/>
          <w:i/>
          <w:sz w:val="18"/>
          <w:szCs w:val="18"/>
        </w:rPr>
      </w:pPr>
      <w:r w:rsidRPr="00AA24A2">
        <w:rPr>
          <w:rFonts w:asciiTheme="minorHAnsi" w:hAnsiTheme="minorHAnsi" w:cstheme="minorHAnsi"/>
          <w:i/>
          <w:sz w:val="18"/>
          <w:szCs w:val="18"/>
        </w:rPr>
        <w:t xml:space="preserve">(*) </w:t>
      </w:r>
      <w:r w:rsidR="00AA24A2">
        <w:rPr>
          <w:rFonts w:asciiTheme="minorHAnsi" w:hAnsiTheme="minorHAnsi" w:cstheme="minorHAnsi"/>
          <w:i/>
          <w:sz w:val="18"/>
          <w:szCs w:val="18"/>
        </w:rPr>
        <w:t>S</w:t>
      </w:r>
      <w:r w:rsidR="00AA24A2" w:rsidRPr="00AA24A2">
        <w:rPr>
          <w:rFonts w:asciiTheme="minorHAnsi" w:hAnsiTheme="minorHAnsi" w:cstheme="minorHAnsi"/>
          <w:i/>
          <w:sz w:val="18"/>
          <w:szCs w:val="18"/>
        </w:rPr>
        <w:t>e indicará “1” para el caso que se oferte el fabricante homologado CONSTRUCCIONES Y AUXILIAR DE FERROCARRILES, S.A. (C.A.F.)</w:t>
      </w:r>
      <w:r w:rsidR="00AA24A2">
        <w:rPr>
          <w:rFonts w:asciiTheme="minorHAnsi" w:hAnsiTheme="minorHAnsi" w:cstheme="minorHAnsi"/>
          <w:i/>
          <w:sz w:val="18"/>
          <w:szCs w:val="18"/>
        </w:rPr>
        <w:t>. E</w:t>
      </w:r>
      <w:r w:rsidR="00AA24A2" w:rsidRPr="00AA24A2">
        <w:rPr>
          <w:rFonts w:asciiTheme="minorHAnsi" w:hAnsiTheme="minorHAnsi" w:cstheme="minorHAnsi"/>
          <w:i/>
          <w:sz w:val="18"/>
          <w:szCs w:val="18"/>
        </w:rPr>
        <w:t>n caso de disponer de homologación y no estar recogido en el presente documento, el licitador deberá indicar en dicho anexo el fabricante homologado que oferta, así como presentar la documentación que acredite dicha homologación, teniendo en consideración que el fabricante ofertado indicado en el anexo deberá ser coincidente con el homologado</w:t>
      </w:r>
    </w:p>
    <w:p w14:paraId="63CE73EC" w14:textId="1E40751E" w:rsidR="003D61AB" w:rsidRPr="00AA24A2" w:rsidRDefault="008328A3" w:rsidP="00013E97">
      <w:pPr>
        <w:pStyle w:val="Textosinformato"/>
        <w:numPr>
          <w:ilvl w:val="0"/>
          <w:numId w:val="11"/>
        </w:numPr>
        <w:autoSpaceDE w:val="0"/>
        <w:autoSpaceDN w:val="0"/>
        <w:adjustRightInd w:val="0"/>
        <w:spacing w:after="120" w:line="240" w:lineRule="auto"/>
        <w:jc w:val="both"/>
        <w:rPr>
          <w:rFonts w:asciiTheme="minorHAnsi" w:hAnsiTheme="minorHAnsi" w:cstheme="minorHAnsi"/>
          <w:sz w:val="22"/>
          <w:szCs w:val="22"/>
        </w:rPr>
      </w:pPr>
      <w:r w:rsidRPr="00AA24A2">
        <w:rPr>
          <w:rFonts w:asciiTheme="minorHAnsi" w:hAnsiTheme="minorHAnsi" w:cstheme="minorHAnsi"/>
          <w:i/>
          <w:sz w:val="18"/>
          <w:szCs w:val="18"/>
        </w:rPr>
        <w:t xml:space="preserve">(**) Se debe cumplimentar la columna habilitada para tal efecto. El plazo de suministro será contado desde la fecha de envío de la correspondiente orden de entrega por parte de Metro, </w:t>
      </w:r>
      <w:r w:rsidR="00A858DC" w:rsidRPr="00AA24A2">
        <w:rPr>
          <w:rFonts w:asciiTheme="minorHAnsi" w:hAnsiTheme="minorHAnsi" w:cstheme="minorHAnsi"/>
          <w:i/>
          <w:sz w:val="18"/>
          <w:szCs w:val="18"/>
        </w:rPr>
        <w:t xml:space="preserve">en semanas, </w:t>
      </w:r>
      <w:r w:rsidRPr="00AA24A2">
        <w:rPr>
          <w:rFonts w:asciiTheme="minorHAnsi" w:hAnsiTheme="minorHAnsi" w:cstheme="minorHAnsi"/>
          <w:i/>
          <w:sz w:val="18"/>
          <w:szCs w:val="18"/>
        </w:rPr>
        <w:t>hasta el suministro en el almacén central de Metro. Según se recoge en el PPT.</w:t>
      </w:r>
      <w:r w:rsidR="00A858DC" w:rsidRPr="00AA24A2">
        <w:rPr>
          <w:rFonts w:asciiTheme="minorHAnsi" w:hAnsiTheme="minorHAnsi" w:cstheme="minorHAnsi"/>
          <w:i/>
          <w:sz w:val="18"/>
          <w:szCs w:val="18"/>
        </w:rPr>
        <w:t xml:space="preserve"> No se tendrá en cuenta la primera semana del año, cuatro semanas del mes de agosto y la última semana del año.</w:t>
      </w:r>
      <w:r w:rsidR="00CC056C" w:rsidRPr="00AA24A2">
        <w:rPr>
          <w:rFonts w:asciiTheme="minorHAnsi" w:hAnsiTheme="minorHAnsi" w:cstheme="minorHAnsi"/>
          <w:sz w:val="22"/>
          <w:szCs w:val="22"/>
        </w:rPr>
        <w:tab/>
      </w:r>
      <w:r w:rsidR="00CC056C" w:rsidRPr="00AA24A2">
        <w:rPr>
          <w:rFonts w:asciiTheme="minorHAnsi" w:hAnsiTheme="minorHAnsi" w:cstheme="minorHAnsi"/>
          <w:sz w:val="22"/>
          <w:szCs w:val="22"/>
        </w:rPr>
        <w:tab/>
      </w:r>
      <w:r w:rsidR="00CC056C" w:rsidRPr="00AA24A2">
        <w:rPr>
          <w:rFonts w:asciiTheme="minorHAnsi" w:hAnsiTheme="minorHAnsi" w:cstheme="minorHAnsi"/>
          <w:sz w:val="22"/>
          <w:szCs w:val="22"/>
        </w:rPr>
        <w:tab/>
      </w:r>
      <w:r w:rsidR="00CC056C" w:rsidRPr="00AA24A2">
        <w:rPr>
          <w:rFonts w:asciiTheme="minorHAnsi" w:hAnsiTheme="minorHAnsi" w:cstheme="minorHAnsi"/>
          <w:sz w:val="22"/>
          <w:szCs w:val="22"/>
        </w:rPr>
        <w:tab/>
      </w:r>
      <w:r w:rsidR="00CC056C" w:rsidRPr="00AA24A2">
        <w:rPr>
          <w:rFonts w:asciiTheme="minorHAnsi" w:hAnsiTheme="minorHAnsi" w:cstheme="minorHAnsi"/>
          <w:sz w:val="22"/>
          <w:szCs w:val="22"/>
        </w:rPr>
        <w:tab/>
      </w:r>
      <w:r w:rsidR="00CC056C" w:rsidRPr="00AA24A2">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EB5D74" w14:textId="543F5ABA"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30B93836" w14:textId="1366365E" w:rsidR="00007C77" w:rsidRPr="00007C77" w:rsidRDefault="003D61AB" w:rsidP="00733A52">
      <w:pPr>
        <w:autoSpaceDE w:val="0"/>
        <w:autoSpaceDN w:val="0"/>
        <w:adjustRightInd w:val="0"/>
        <w:spacing w:line="240" w:lineRule="auto"/>
        <w:ind w:left="3600" w:firstLine="720"/>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65A80EB2" w14:textId="0A234B91" w:rsidR="00007C77" w:rsidRDefault="00007C77" w:rsidP="00007C77">
      <w:pPr>
        <w:rPr>
          <w:rFonts w:asciiTheme="minorHAnsi" w:hAnsiTheme="minorHAnsi" w:cstheme="minorHAnsi"/>
          <w:sz w:val="22"/>
          <w:szCs w:val="22"/>
        </w:rPr>
      </w:pPr>
    </w:p>
    <w:sectPr w:rsidR="00007C77" w:rsidSect="009526C0">
      <w:headerReference w:type="default" r:id="rId7"/>
      <w:footerReference w:type="default" r:id="rId8"/>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772ED" w14:textId="77777777" w:rsidR="00EF16B6" w:rsidRDefault="00EF16B6" w:rsidP="006026D8">
      <w:pPr>
        <w:spacing w:line="240" w:lineRule="auto"/>
      </w:pPr>
      <w:r>
        <w:separator/>
      </w:r>
    </w:p>
  </w:endnote>
  <w:endnote w:type="continuationSeparator" w:id="0">
    <w:p w14:paraId="4CE2BEBD" w14:textId="77777777" w:rsidR="00EF16B6" w:rsidRDefault="00EF16B6"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7A7349BA" w:rsidR="0035379F" w:rsidRPr="004451F0" w:rsidRDefault="0035379F" w:rsidP="003D525F">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SUMINISTRO </w:t>
    </w:r>
    <w:r w:rsidR="003D525F" w:rsidRPr="003D525F">
      <w:rPr>
        <w:b/>
        <w:bCs/>
      </w:rPr>
      <w:t>RUEDAS MONOBLOCK PARA EL MANTENIMIENTO DE LOS VEHÍCULOS DE MATERIAL</w:t>
    </w:r>
    <w:r w:rsidR="003D525F">
      <w:rPr>
        <w:b/>
        <w:bCs/>
      </w:rPr>
      <w:t xml:space="preserve"> </w:t>
    </w:r>
    <w:r w:rsidR="003D525F" w:rsidRPr="003D525F">
      <w:rPr>
        <w:b/>
        <w:bCs/>
      </w:rPr>
      <w:t>MÓVIL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CCAAF" w14:textId="77777777" w:rsidR="00EF16B6" w:rsidRDefault="00EF16B6" w:rsidP="006026D8">
      <w:pPr>
        <w:spacing w:line="240" w:lineRule="auto"/>
      </w:pPr>
      <w:r>
        <w:separator/>
      </w:r>
    </w:p>
  </w:footnote>
  <w:footnote w:type="continuationSeparator" w:id="0">
    <w:p w14:paraId="1F626C51" w14:textId="77777777" w:rsidR="00EF16B6" w:rsidRDefault="00EF16B6"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54814554">
    <w:abstractNumId w:val="6"/>
  </w:num>
  <w:num w:numId="2" w16cid:durableId="581069095">
    <w:abstractNumId w:val="9"/>
  </w:num>
  <w:num w:numId="3" w16cid:durableId="2095280326">
    <w:abstractNumId w:val="4"/>
  </w:num>
  <w:num w:numId="4" w16cid:durableId="1109009730">
    <w:abstractNumId w:val="5"/>
  </w:num>
  <w:num w:numId="5" w16cid:durableId="1803620542">
    <w:abstractNumId w:val="5"/>
    <w:lvlOverride w:ilvl="0">
      <w:startOverride w:val="1"/>
    </w:lvlOverride>
    <w:lvlOverride w:ilvl="1"/>
    <w:lvlOverride w:ilvl="2"/>
    <w:lvlOverride w:ilvl="3"/>
    <w:lvlOverride w:ilvl="4"/>
    <w:lvlOverride w:ilvl="5"/>
    <w:lvlOverride w:ilvl="6"/>
    <w:lvlOverride w:ilvl="7"/>
    <w:lvlOverride w:ilvl="8"/>
  </w:num>
  <w:num w:numId="6" w16cid:durableId="284040807">
    <w:abstractNumId w:val="3"/>
  </w:num>
  <w:num w:numId="7" w16cid:durableId="1712345679">
    <w:abstractNumId w:val="8"/>
  </w:num>
  <w:num w:numId="8" w16cid:durableId="82653187">
    <w:abstractNumId w:val="1"/>
  </w:num>
  <w:num w:numId="9" w16cid:durableId="384573886">
    <w:abstractNumId w:val="2"/>
  </w:num>
  <w:num w:numId="10" w16cid:durableId="736514050">
    <w:abstractNumId w:val="1"/>
  </w:num>
  <w:num w:numId="11" w16cid:durableId="925723301">
    <w:abstractNumId w:val="7"/>
  </w:num>
  <w:num w:numId="12" w16cid:durableId="202690778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96838"/>
    <w:rsid w:val="000A08AE"/>
    <w:rsid w:val="000A1839"/>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B2B"/>
    <w:rsid w:val="00290D46"/>
    <w:rsid w:val="002912B7"/>
    <w:rsid w:val="0029664F"/>
    <w:rsid w:val="002A6D7F"/>
    <w:rsid w:val="002A6E7F"/>
    <w:rsid w:val="002B02DC"/>
    <w:rsid w:val="002B1386"/>
    <w:rsid w:val="002C0455"/>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3C2D"/>
    <w:rsid w:val="00335041"/>
    <w:rsid w:val="00337785"/>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C89"/>
    <w:rsid w:val="00395B84"/>
    <w:rsid w:val="00397568"/>
    <w:rsid w:val="003A28E8"/>
    <w:rsid w:val="003A3C09"/>
    <w:rsid w:val="003A5B9E"/>
    <w:rsid w:val="003B0A6B"/>
    <w:rsid w:val="003B3DC8"/>
    <w:rsid w:val="003B60DC"/>
    <w:rsid w:val="003B7FDE"/>
    <w:rsid w:val="003C0365"/>
    <w:rsid w:val="003C23BF"/>
    <w:rsid w:val="003C29AC"/>
    <w:rsid w:val="003C4F4D"/>
    <w:rsid w:val="003C7B4D"/>
    <w:rsid w:val="003D34C5"/>
    <w:rsid w:val="003D3527"/>
    <w:rsid w:val="003D4CF1"/>
    <w:rsid w:val="003D525F"/>
    <w:rsid w:val="003D5553"/>
    <w:rsid w:val="003D61AB"/>
    <w:rsid w:val="003E33A5"/>
    <w:rsid w:val="003E358F"/>
    <w:rsid w:val="003E5D5C"/>
    <w:rsid w:val="004038B9"/>
    <w:rsid w:val="00405452"/>
    <w:rsid w:val="00405C7F"/>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65236"/>
    <w:rsid w:val="00472ADF"/>
    <w:rsid w:val="00486274"/>
    <w:rsid w:val="00494A24"/>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20A85"/>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36F8"/>
    <w:rsid w:val="005B66FB"/>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9211A"/>
    <w:rsid w:val="006A59A9"/>
    <w:rsid w:val="006B05CC"/>
    <w:rsid w:val="006B2CFD"/>
    <w:rsid w:val="006C42CC"/>
    <w:rsid w:val="006E2575"/>
    <w:rsid w:val="006E2DB6"/>
    <w:rsid w:val="006E4E11"/>
    <w:rsid w:val="006E6AD3"/>
    <w:rsid w:val="006E716C"/>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3A52"/>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424"/>
    <w:rsid w:val="008179E0"/>
    <w:rsid w:val="00822AFC"/>
    <w:rsid w:val="00822FF4"/>
    <w:rsid w:val="00823300"/>
    <w:rsid w:val="00824B34"/>
    <w:rsid w:val="00826BFF"/>
    <w:rsid w:val="008304AB"/>
    <w:rsid w:val="008328A3"/>
    <w:rsid w:val="00834B0D"/>
    <w:rsid w:val="00835EF7"/>
    <w:rsid w:val="00836526"/>
    <w:rsid w:val="0083740C"/>
    <w:rsid w:val="008403BF"/>
    <w:rsid w:val="0084644B"/>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B1197"/>
    <w:rsid w:val="008B5748"/>
    <w:rsid w:val="008B71E0"/>
    <w:rsid w:val="008C0896"/>
    <w:rsid w:val="008C53C5"/>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43AA3"/>
    <w:rsid w:val="00A532A1"/>
    <w:rsid w:val="00A534E6"/>
    <w:rsid w:val="00A55AB5"/>
    <w:rsid w:val="00A600D8"/>
    <w:rsid w:val="00A60339"/>
    <w:rsid w:val="00A7089E"/>
    <w:rsid w:val="00A7248E"/>
    <w:rsid w:val="00A733F2"/>
    <w:rsid w:val="00A7625F"/>
    <w:rsid w:val="00A80FF6"/>
    <w:rsid w:val="00A8305C"/>
    <w:rsid w:val="00A858DC"/>
    <w:rsid w:val="00A87D18"/>
    <w:rsid w:val="00A94594"/>
    <w:rsid w:val="00A95F30"/>
    <w:rsid w:val="00AA24A2"/>
    <w:rsid w:val="00AB0B94"/>
    <w:rsid w:val="00AB5734"/>
    <w:rsid w:val="00AC4752"/>
    <w:rsid w:val="00AC648B"/>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C00E17"/>
    <w:rsid w:val="00C15CD3"/>
    <w:rsid w:val="00C16879"/>
    <w:rsid w:val="00C2315D"/>
    <w:rsid w:val="00C25DDE"/>
    <w:rsid w:val="00C26EC3"/>
    <w:rsid w:val="00C303A2"/>
    <w:rsid w:val="00C31E55"/>
    <w:rsid w:val="00C3309D"/>
    <w:rsid w:val="00C33FAB"/>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C74"/>
    <w:rsid w:val="00D00EDC"/>
    <w:rsid w:val="00D014FE"/>
    <w:rsid w:val="00D028A0"/>
    <w:rsid w:val="00D044CE"/>
    <w:rsid w:val="00D068F1"/>
    <w:rsid w:val="00D071F9"/>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AA7"/>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16B9"/>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16B6"/>
    <w:rsid w:val="00EF4068"/>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1958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2269</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2025-12-04T12:02:00Z</dcterms:created>
  <dcterms:modified xsi:type="dcterms:W3CDTF">2025-12-04T12:02:00Z</dcterms:modified>
</cp:coreProperties>
</file>