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1ECF5014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D42B0D">
        <w:rPr>
          <w:rFonts w:asciiTheme="minorHAnsi" w:hAnsiTheme="minorHAnsi" w:cstheme="minorHAnsi"/>
          <w:i/>
          <w:sz w:val="24"/>
          <w:szCs w:val="24"/>
        </w:rPr>
        <w:t>I</w:t>
      </w:r>
      <w:bookmarkEnd w:id="0"/>
      <w:r w:rsidR="00395B84">
        <w:rPr>
          <w:rFonts w:asciiTheme="minorHAnsi" w:hAnsiTheme="minorHAnsi" w:cstheme="minorHAnsi"/>
          <w:i/>
          <w:sz w:val="24"/>
          <w:szCs w:val="24"/>
        </w:rPr>
        <w:t xml:space="preserve"> PLAZOS</w:t>
      </w:r>
      <w:r w:rsidR="00C01BD4">
        <w:rPr>
          <w:rFonts w:asciiTheme="minorHAnsi" w:hAnsiTheme="minorHAnsi" w:cstheme="minorHAnsi"/>
          <w:i/>
          <w:sz w:val="24"/>
          <w:szCs w:val="24"/>
        </w:rPr>
        <w:t xml:space="preserve"> DE ENTREGA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11EDA53F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</w:t>
      </w:r>
      <w:r w:rsidR="009E63A5" w:rsidRPr="009E63A5">
        <w:rPr>
          <w:rFonts w:asciiTheme="minorHAnsi" w:hAnsiTheme="minorHAnsi" w:cstheme="minorHAnsi"/>
          <w:sz w:val="22"/>
          <w:szCs w:val="22"/>
        </w:rPr>
        <w:t xml:space="preserve">durante la </w:t>
      </w:r>
      <w:r w:rsidR="005126CA">
        <w:rPr>
          <w:rFonts w:asciiTheme="minorHAnsi" w:hAnsiTheme="minorHAnsi" w:cstheme="minorHAnsi"/>
          <w:sz w:val="22"/>
          <w:szCs w:val="22"/>
        </w:rPr>
        <w:t>ejecución</w:t>
      </w:r>
      <w:r w:rsidR="009E63A5" w:rsidRPr="009E63A5">
        <w:rPr>
          <w:rFonts w:asciiTheme="minorHAnsi" w:hAnsiTheme="minorHAnsi" w:cstheme="minorHAnsi"/>
          <w:sz w:val="22"/>
          <w:szCs w:val="22"/>
        </w:rPr>
        <w:t xml:space="preserve"> del </w:t>
      </w:r>
      <w:r w:rsidR="009E63A5" w:rsidRPr="009E63A5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las referencias </w:t>
      </w:r>
      <w:r w:rsidR="001661CE">
        <w:rPr>
          <w:rFonts w:asciiTheme="minorHAnsi" w:hAnsiTheme="minorHAnsi" w:cstheme="minorHAnsi"/>
          <w:sz w:val="22"/>
          <w:szCs w:val="22"/>
          <w:u w:val="single"/>
        </w:rPr>
        <w:t>actualmente homologadas por Metro de Madrid</w:t>
      </w:r>
      <w:r w:rsidR="009E63A5" w:rsidRPr="009E63A5">
        <w:rPr>
          <w:rFonts w:asciiTheme="minorHAnsi" w:hAnsiTheme="minorHAnsi" w:cstheme="minorHAnsi"/>
          <w:sz w:val="22"/>
          <w:szCs w:val="22"/>
        </w:rPr>
        <w:t>, siendo éstas las citadas en el pliego técnico y según los requerimientos establecidos</w:t>
      </w:r>
      <w:r w:rsidRPr="0025045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10B8667" w14:textId="314A3063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  <w:r w:rsidR="001661CE">
        <w:rPr>
          <w:rFonts w:asciiTheme="minorHAnsi" w:hAnsiTheme="minorHAnsi" w:cstheme="minorHAnsi"/>
          <w:sz w:val="22"/>
          <w:szCs w:val="22"/>
        </w:rPr>
        <w:t xml:space="preserve"> del fabricante de las referencias homologadas</w:t>
      </w:r>
    </w:p>
    <w:p w14:paraId="59052174" w14:textId="6EFAEF84" w:rsidR="00D42B0D" w:rsidRPr="00F12A05" w:rsidRDefault="00D42B0D" w:rsidP="00D42B0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="005803FF">
        <w:rPr>
          <w:rFonts w:asciiTheme="minorHAnsi" w:hAnsiTheme="minorHAnsi" w:cstheme="minorHAnsi"/>
          <w:sz w:val="22"/>
          <w:szCs w:val="22"/>
        </w:rPr>
        <w:t xml:space="preserve">no superarán </w:t>
      </w:r>
      <w:r w:rsidR="00701CBD">
        <w:rPr>
          <w:rFonts w:asciiTheme="minorHAnsi" w:hAnsiTheme="minorHAnsi" w:cstheme="minorHAnsi"/>
          <w:sz w:val="22"/>
          <w:szCs w:val="22"/>
        </w:rPr>
        <w:t xml:space="preserve">los </w:t>
      </w:r>
      <w:r w:rsidR="005803FF">
        <w:rPr>
          <w:rFonts w:asciiTheme="minorHAnsi" w:hAnsiTheme="minorHAnsi" w:cstheme="minorHAnsi"/>
          <w:sz w:val="22"/>
          <w:szCs w:val="22"/>
        </w:rPr>
        <w:t xml:space="preserve">doce (12) </w:t>
      </w:r>
      <w:r w:rsidR="00701CBD">
        <w:rPr>
          <w:rFonts w:asciiTheme="minorHAnsi" w:hAnsiTheme="minorHAnsi" w:cstheme="minorHAnsi"/>
          <w:sz w:val="22"/>
          <w:szCs w:val="22"/>
        </w:rPr>
        <w:t xml:space="preserve">meses establecidos </w:t>
      </w:r>
      <w:r w:rsidR="005803FF">
        <w:rPr>
          <w:rFonts w:asciiTheme="minorHAnsi" w:hAnsiTheme="minorHAnsi" w:cstheme="minorHAnsi"/>
          <w:sz w:val="22"/>
          <w:szCs w:val="22"/>
        </w:rPr>
        <w:t xml:space="preserve">y que durante la </w:t>
      </w:r>
      <w:r w:rsidR="00F11EF2">
        <w:rPr>
          <w:rFonts w:asciiTheme="minorHAnsi" w:hAnsiTheme="minorHAnsi" w:cstheme="minorHAnsi"/>
          <w:sz w:val="22"/>
          <w:szCs w:val="22"/>
        </w:rPr>
        <w:t>ejecución</w:t>
      </w:r>
      <w:r w:rsidR="005803FF">
        <w:rPr>
          <w:rFonts w:asciiTheme="minorHAnsi" w:hAnsiTheme="minorHAnsi" w:cstheme="minorHAnsi"/>
          <w:sz w:val="22"/>
          <w:szCs w:val="22"/>
        </w:rPr>
        <w:t xml:space="preserve"> del contrato </w:t>
      </w:r>
      <w:r w:rsidRPr="00250456">
        <w:rPr>
          <w:rFonts w:asciiTheme="minorHAnsi" w:hAnsiTheme="minorHAnsi" w:cstheme="minorHAnsi"/>
          <w:sz w:val="22"/>
          <w:szCs w:val="22"/>
        </w:rPr>
        <w:t xml:space="preserve">corresponderán a los que a continuación se indican: </w:t>
      </w:r>
    </w:p>
    <w:tbl>
      <w:tblPr>
        <w:tblW w:w="9050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1906"/>
        <w:gridCol w:w="1843"/>
        <w:gridCol w:w="1843"/>
        <w:gridCol w:w="992"/>
        <w:gridCol w:w="1405"/>
      </w:tblGrid>
      <w:tr w:rsidR="001661CE" w:rsidRPr="005042B4" w14:paraId="25AB53A3" w14:textId="77777777" w:rsidTr="005803FF">
        <w:trPr>
          <w:trHeight w:val="697"/>
          <w:jc w:val="center"/>
        </w:trPr>
        <w:tc>
          <w:tcPr>
            <w:tcW w:w="1061" w:type="dxa"/>
            <w:shd w:val="clear" w:color="000000" w:fill="548DD4"/>
            <w:vAlign w:val="center"/>
            <w:hideMark/>
          </w:tcPr>
          <w:p w14:paraId="5D58EB4F" w14:textId="77777777" w:rsidR="001661CE" w:rsidRPr="005042B4" w:rsidRDefault="001661CE" w:rsidP="005803F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4"/>
                <w:szCs w:val="14"/>
              </w:rPr>
            </w:pPr>
            <w:r w:rsidRPr="005042B4">
              <w:rPr>
                <w:rFonts w:eastAsia="Times New Roman" w:cs="Calibri"/>
                <w:b/>
                <w:bCs/>
                <w:color w:val="FFFFFF"/>
                <w:sz w:val="14"/>
                <w:szCs w:val="14"/>
              </w:rPr>
              <w:t>REFERENCIA INTERNA METRO</w:t>
            </w:r>
          </w:p>
        </w:tc>
        <w:tc>
          <w:tcPr>
            <w:tcW w:w="1906" w:type="dxa"/>
            <w:shd w:val="clear" w:color="000000" w:fill="548DD4"/>
            <w:vAlign w:val="center"/>
            <w:hideMark/>
          </w:tcPr>
          <w:p w14:paraId="3748135C" w14:textId="77777777" w:rsidR="001661CE" w:rsidRPr="005042B4" w:rsidRDefault="001661CE" w:rsidP="005803F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4"/>
                <w:szCs w:val="14"/>
              </w:rPr>
            </w:pPr>
            <w:r w:rsidRPr="005042B4">
              <w:rPr>
                <w:rFonts w:eastAsia="Times New Roman" w:cs="Calibri"/>
                <w:b/>
                <w:bCs/>
                <w:color w:val="FFFFFF"/>
                <w:sz w:val="14"/>
                <w:szCs w:val="14"/>
              </w:rPr>
              <w:t>DENOMINACIÓN</w:t>
            </w:r>
          </w:p>
        </w:tc>
        <w:tc>
          <w:tcPr>
            <w:tcW w:w="1843" w:type="dxa"/>
            <w:shd w:val="clear" w:color="000000" w:fill="548DD4"/>
            <w:vAlign w:val="center"/>
          </w:tcPr>
          <w:p w14:paraId="4837A087" w14:textId="5C067A80" w:rsidR="001661CE" w:rsidRPr="005042B4" w:rsidRDefault="001661CE" w:rsidP="005803F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>REFERENCIA FABRICANTE HOMOLOGADO SKF (1)</w:t>
            </w:r>
          </w:p>
        </w:tc>
        <w:tc>
          <w:tcPr>
            <w:tcW w:w="1843" w:type="dxa"/>
            <w:shd w:val="clear" w:color="000000" w:fill="548DD4"/>
            <w:vAlign w:val="center"/>
          </w:tcPr>
          <w:p w14:paraId="3C10E95D" w14:textId="7FD25657" w:rsidR="001661CE" w:rsidRPr="005042B4" w:rsidRDefault="001661CE" w:rsidP="005803F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>REFERENCIA FABRICANTE HOMOLOGADO FAG (2)</w:t>
            </w:r>
          </w:p>
        </w:tc>
        <w:tc>
          <w:tcPr>
            <w:tcW w:w="992" w:type="dxa"/>
            <w:shd w:val="clear" w:color="000000" w:fill="548DD4"/>
            <w:vAlign w:val="center"/>
          </w:tcPr>
          <w:p w14:paraId="08F4AC8E" w14:textId="1AAD6A83" w:rsidR="001661CE" w:rsidRPr="005042B4" w:rsidRDefault="001661CE" w:rsidP="005803F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>REFERENCIA OFERTADA (*)</w:t>
            </w:r>
          </w:p>
        </w:tc>
        <w:tc>
          <w:tcPr>
            <w:tcW w:w="1405" w:type="dxa"/>
            <w:shd w:val="clear" w:color="000000" w:fill="548DD4"/>
            <w:vAlign w:val="center"/>
            <w:hideMark/>
          </w:tcPr>
          <w:p w14:paraId="37A49E5F" w14:textId="36D4FFB7" w:rsidR="001661CE" w:rsidRDefault="001661CE" w:rsidP="005803F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</w:pPr>
            <w:r w:rsidRPr="005042B4"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>Plazo de Suministro</w:t>
            </w:r>
          </w:p>
          <w:p w14:paraId="32DEBAA6" w14:textId="2BC3959D" w:rsidR="001661CE" w:rsidRPr="005042B4" w:rsidRDefault="001661CE" w:rsidP="005803F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</w:pPr>
            <w:r w:rsidRPr="005042B4"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>(</w:t>
            </w:r>
            <w:r w:rsidR="00701CBD"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>meses</w:t>
            </w:r>
            <w:r w:rsidRPr="005042B4"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>)</w:t>
            </w:r>
            <w:r w:rsidR="005803FF"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 xml:space="preserve"> (</w:t>
            </w:r>
            <w:r w:rsidRPr="005042B4"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>*</w:t>
            </w:r>
            <w:r w:rsidR="005803FF">
              <w:rPr>
                <w:rFonts w:eastAsia="Times New Roman" w:cs="Calibri"/>
                <w:b/>
                <w:bCs/>
                <w:color w:val="FFFFFF" w:themeColor="background1"/>
                <w:sz w:val="14"/>
                <w:szCs w:val="14"/>
              </w:rPr>
              <w:t>*)</w:t>
            </w:r>
          </w:p>
        </w:tc>
      </w:tr>
      <w:tr w:rsidR="001661CE" w:rsidRPr="005042B4" w14:paraId="76F4C1E6" w14:textId="77777777" w:rsidTr="005803FF">
        <w:trPr>
          <w:trHeight w:val="211"/>
          <w:jc w:val="center"/>
        </w:trPr>
        <w:tc>
          <w:tcPr>
            <w:tcW w:w="1061" w:type="dxa"/>
            <w:shd w:val="clear" w:color="auto" w:fill="DBE5F1" w:themeFill="accent1" w:themeFillTint="33"/>
            <w:noWrap/>
            <w:vAlign w:val="center"/>
          </w:tcPr>
          <w:p w14:paraId="38B46C2E" w14:textId="1BE5F310" w:rsidR="001661CE" w:rsidRPr="001661CE" w:rsidRDefault="001661CE" w:rsidP="001661CE">
            <w:pPr>
              <w:spacing w:line="240" w:lineRule="auto"/>
              <w:jc w:val="center"/>
              <w:rPr>
                <w:rFonts w:asciiTheme="minorHAnsi" w:eastAsia="Times New Roman" w:hAnsiTheme="minorHAnsi"/>
                <w:lang w:val="en-US"/>
              </w:rPr>
            </w:pPr>
            <w:r w:rsidRPr="001661CE">
              <w:rPr>
                <w:rFonts w:asciiTheme="minorHAnsi" w:hAnsiTheme="minorHAnsi" w:cstheme="minorHAnsi"/>
                <w:color w:val="000000"/>
              </w:rPr>
              <w:t>304328</w:t>
            </w:r>
          </w:p>
        </w:tc>
        <w:tc>
          <w:tcPr>
            <w:tcW w:w="1906" w:type="dxa"/>
            <w:shd w:val="clear" w:color="auto" w:fill="DBE5F1" w:themeFill="accent1" w:themeFillTint="33"/>
            <w:noWrap/>
            <w:vAlign w:val="center"/>
          </w:tcPr>
          <w:p w14:paraId="7CA703FD" w14:textId="26A443E7" w:rsidR="001661CE" w:rsidRPr="001661CE" w:rsidRDefault="001661CE" w:rsidP="001661CE">
            <w:pPr>
              <w:spacing w:line="240" w:lineRule="auto"/>
              <w:jc w:val="center"/>
              <w:rPr>
                <w:rFonts w:asciiTheme="minorHAnsi" w:eastAsia="Times New Roman" w:hAnsiTheme="minorHAnsi"/>
              </w:rPr>
            </w:pPr>
            <w:r w:rsidRPr="001661CE">
              <w:rPr>
                <w:color w:val="000000"/>
              </w:rPr>
              <w:t>RODAMIENTO COMPACTO EJE DE RUEDAS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1B743459" w14:textId="77777777" w:rsidR="001661CE" w:rsidRPr="00F11EF2" w:rsidRDefault="001661CE" w:rsidP="001661CE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 w:rsidRPr="00F11EF2">
              <w:rPr>
                <w:rFonts w:asciiTheme="minorHAnsi" w:hAnsiTheme="minorHAnsi" w:cstheme="minorHAnsi"/>
                <w:bCs/>
                <w:lang w:val="en-GB"/>
              </w:rPr>
              <w:t>Fabricante: SKF</w:t>
            </w:r>
          </w:p>
          <w:p w14:paraId="0547E4A5" w14:textId="5408FA65" w:rsidR="001661CE" w:rsidRPr="00F11EF2" w:rsidRDefault="001661CE" w:rsidP="001661CE">
            <w:pPr>
              <w:spacing w:line="240" w:lineRule="auto"/>
              <w:jc w:val="center"/>
              <w:rPr>
                <w:rFonts w:asciiTheme="minorHAnsi" w:eastAsia="Times New Roman" w:hAnsiTheme="minorHAnsi"/>
                <w:lang w:val="en-GB"/>
              </w:rPr>
            </w:pPr>
            <w:r w:rsidRPr="00F11EF2">
              <w:rPr>
                <w:rFonts w:asciiTheme="minorHAnsi" w:hAnsiTheme="minorHAnsi" w:cstheme="minorHAnsi"/>
                <w:bCs/>
                <w:lang w:val="en-GB"/>
              </w:rPr>
              <w:t>Ref.: SKF BT2-7093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777ADA24" w14:textId="77777777" w:rsidR="001661CE" w:rsidRPr="00F11EF2" w:rsidRDefault="001661CE" w:rsidP="001661CE">
            <w:pPr>
              <w:spacing w:line="312" w:lineRule="auto"/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 w:rsidRPr="00F11EF2">
              <w:rPr>
                <w:rFonts w:asciiTheme="minorHAnsi" w:hAnsiTheme="minorHAnsi" w:cstheme="minorHAnsi"/>
                <w:bCs/>
                <w:lang w:val="en-GB"/>
              </w:rPr>
              <w:t>Fabricante: FAG</w:t>
            </w:r>
          </w:p>
          <w:p w14:paraId="66A088B9" w14:textId="3F0F9508" w:rsidR="001661CE" w:rsidRPr="001661CE" w:rsidRDefault="001661CE" w:rsidP="001661CE">
            <w:pPr>
              <w:spacing w:line="240" w:lineRule="auto"/>
              <w:jc w:val="center"/>
              <w:rPr>
                <w:rFonts w:asciiTheme="minorHAnsi" w:eastAsia="Times New Roman" w:hAnsiTheme="minorHAnsi"/>
              </w:rPr>
            </w:pPr>
            <w:r w:rsidRPr="00F11EF2">
              <w:rPr>
                <w:rFonts w:asciiTheme="minorHAnsi" w:hAnsiTheme="minorHAnsi" w:cstheme="minorHAnsi"/>
                <w:bCs/>
                <w:lang w:val="en-GB"/>
              </w:rPr>
              <w:t xml:space="preserve">Ref.: FAG F-808461.03. </w:t>
            </w:r>
            <w:r w:rsidRPr="001661CE">
              <w:rPr>
                <w:rFonts w:asciiTheme="minorHAnsi" w:hAnsiTheme="minorHAnsi" w:cstheme="minorHAnsi"/>
                <w:bCs/>
              </w:rPr>
              <w:t>TAROL110/180-B-TVP</w:t>
            </w:r>
          </w:p>
        </w:tc>
        <w:tc>
          <w:tcPr>
            <w:tcW w:w="992" w:type="dxa"/>
          </w:tcPr>
          <w:p w14:paraId="7E732CFE" w14:textId="6FD55811" w:rsidR="001661CE" w:rsidRPr="005042B4" w:rsidRDefault="001661CE" w:rsidP="001661CE">
            <w:pPr>
              <w:spacing w:line="240" w:lineRule="auto"/>
              <w:jc w:val="center"/>
              <w:rPr>
                <w:rFonts w:asciiTheme="minorHAnsi" w:eastAsia="Times New Roman" w:hAnsiTheme="minorHAnsi"/>
                <w:sz w:val="14"/>
                <w:szCs w:val="14"/>
              </w:rPr>
            </w:pPr>
          </w:p>
        </w:tc>
        <w:tc>
          <w:tcPr>
            <w:tcW w:w="1405" w:type="dxa"/>
            <w:vAlign w:val="center"/>
            <w:hideMark/>
          </w:tcPr>
          <w:p w14:paraId="72C47CCD" w14:textId="2D8C67B4" w:rsidR="001661CE" w:rsidRPr="005042B4" w:rsidRDefault="001661CE" w:rsidP="001661CE">
            <w:pPr>
              <w:spacing w:line="240" w:lineRule="auto"/>
              <w:jc w:val="center"/>
              <w:rPr>
                <w:rFonts w:asciiTheme="minorHAnsi" w:eastAsia="Times New Roman" w:hAnsiTheme="minorHAnsi"/>
                <w:sz w:val="14"/>
                <w:szCs w:val="14"/>
              </w:rPr>
            </w:pPr>
            <w:r w:rsidRPr="005042B4">
              <w:rPr>
                <w:rFonts w:asciiTheme="minorHAnsi" w:eastAsia="Times New Roman" w:hAnsiTheme="minorHAnsi"/>
                <w:sz w:val="14"/>
                <w:szCs w:val="14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01003FA6" w:rsidR="00BD7AC9" w:rsidRDefault="00BD7AC9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2C4275D3" w14:textId="30743184" w:rsidR="005803FF" w:rsidRDefault="008328A3" w:rsidP="00D42B0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5803FF">
        <w:rPr>
          <w:rFonts w:asciiTheme="minorHAnsi" w:hAnsiTheme="minorHAnsi" w:cstheme="minorHAnsi"/>
          <w:i/>
          <w:sz w:val="18"/>
          <w:szCs w:val="18"/>
        </w:rPr>
        <w:t>Se deberá indicar un “1” o un “2” en función del fabricante y referencia homologada que se oferta.</w:t>
      </w:r>
    </w:p>
    <w:p w14:paraId="0E2FD5A3" w14:textId="7A9AA856" w:rsidR="00D42B0D" w:rsidRDefault="005803FF" w:rsidP="00D42B0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="008328A3"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 w:rsidR="008328A3"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D42B0D" w:rsidRPr="00D42B0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42B0D" w:rsidRPr="00082C61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623E6375" w14:textId="24568427" w:rsidR="009E63A5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1E09EEFA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r w:rsidR="00185191" w:rsidRPr="00CC056C">
        <w:rPr>
          <w:rFonts w:asciiTheme="minorHAnsi" w:hAnsiTheme="minorHAnsi" w:cstheme="minorHAnsi"/>
          <w:sz w:val="22"/>
          <w:szCs w:val="22"/>
        </w:rPr>
        <w:t>……</w:t>
      </w:r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r w:rsidR="00185191" w:rsidRPr="00CC056C">
        <w:rPr>
          <w:rFonts w:asciiTheme="minorHAnsi" w:hAnsiTheme="minorHAnsi" w:cstheme="minorHAnsi"/>
          <w:sz w:val="22"/>
          <w:szCs w:val="22"/>
        </w:rPr>
        <w:t>……</w:t>
      </w:r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28BA4D2A" w14:textId="77777777" w:rsidR="00D42B0D" w:rsidRDefault="00D42B0D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F85C6AA" w14:textId="16250441" w:rsidR="00007C77" w:rsidRPr="00007C77" w:rsidRDefault="003D61AB" w:rsidP="009A66D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RPr="00007C77" w:rsidSect="005042B4">
      <w:headerReference w:type="default" r:id="rId8"/>
      <w:footerReference w:type="default" r:id="rId9"/>
      <w:pgSz w:w="11900" w:h="16840"/>
      <w:pgMar w:top="1135" w:right="1670" w:bottom="1134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5B1B3" w14:textId="77777777" w:rsidR="00D5457D" w:rsidRDefault="00D5457D" w:rsidP="006026D8">
      <w:pPr>
        <w:spacing w:line="240" w:lineRule="auto"/>
      </w:pPr>
      <w:r>
        <w:separator/>
      </w:r>
    </w:p>
  </w:endnote>
  <w:endnote w:type="continuationSeparator" w:id="0">
    <w:p w14:paraId="5DDEC12D" w14:textId="77777777" w:rsidR="00D5457D" w:rsidRDefault="00D5457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594D333E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</w:t>
    </w:r>
    <w:r w:rsidR="00DC2540" w:rsidRPr="00DC2540">
      <w:rPr>
        <w:b/>
        <w:bCs/>
      </w:rPr>
      <w:t>SUMINISTRO DE RODAMIENTOS COMPACTOS PARA EJES DE RUEDAS PARA EL MANTENIMIENTO DE MATERIAL MÓVIL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D8A" w14:textId="77777777" w:rsidR="00D5457D" w:rsidRDefault="00D5457D" w:rsidP="006026D8">
      <w:pPr>
        <w:spacing w:line="240" w:lineRule="auto"/>
      </w:pPr>
      <w:r>
        <w:separator/>
      </w:r>
    </w:p>
  </w:footnote>
  <w:footnote w:type="continuationSeparator" w:id="0">
    <w:p w14:paraId="40A92F44" w14:textId="77777777" w:rsidR="00D5457D" w:rsidRDefault="00D5457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9399438">
          <wp:simplePos x="0" y="0"/>
          <wp:positionH relativeFrom="page">
            <wp:posOffset>628650</wp:posOffset>
          </wp:positionH>
          <wp:positionV relativeFrom="page">
            <wp:posOffset>324394</wp:posOffset>
          </wp:positionV>
          <wp:extent cx="818515" cy="574675"/>
          <wp:effectExtent l="0" t="0" r="635" b="0"/>
          <wp:wrapNone/>
          <wp:docPr id="1789805332" name="Imagen 17898053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127841">
    <w:abstractNumId w:val="6"/>
  </w:num>
  <w:num w:numId="2" w16cid:durableId="909655145">
    <w:abstractNumId w:val="9"/>
  </w:num>
  <w:num w:numId="3" w16cid:durableId="1980183700">
    <w:abstractNumId w:val="4"/>
  </w:num>
  <w:num w:numId="4" w16cid:durableId="779036530">
    <w:abstractNumId w:val="5"/>
  </w:num>
  <w:num w:numId="5" w16cid:durableId="143039254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05681359">
    <w:abstractNumId w:val="3"/>
  </w:num>
  <w:num w:numId="7" w16cid:durableId="650909929">
    <w:abstractNumId w:val="8"/>
  </w:num>
  <w:num w:numId="8" w16cid:durableId="2072731859">
    <w:abstractNumId w:val="1"/>
  </w:num>
  <w:num w:numId="9" w16cid:durableId="2112427399">
    <w:abstractNumId w:val="2"/>
  </w:num>
  <w:num w:numId="10" w16cid:durableId="552080769">
    <w:abstractNumId w:val="1"/>
  </w:num>
  <w:num w:numId="11" w16cid:durableId="411852391">
    <w:abstractNumId w:val="7"/>
  </w:num>
  <w:num w:numId="12" w16cid:durableId="19615879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3BE5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5021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3FA"/>
    <w:rsid w:val="001661CE"/>
    <w:rsid w:val="001711A1"/>
    <w:rsid w:val="00172257"/>
    <w:rsid w:val="00173954"/>
    <w:rsid w:val="00175C13"/>
    <w:rsid w:val="00176B26"/>
    <w:rsid w:val="00176C38"/>
    <w:rsid w:val="001775F1"/>
    <w:rsid w:val="00180BE9"/>
    <w:rsid w:val="00185191"/>
    <w:rsid w:val="00185628"/>
    <w:rsid w:val="00191295"/>
    <w:rsid w:val="001A36BD"/>
    <w:rsid w:val="001A3BE7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133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1EE6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3CEB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42B4"/>
    <w:rsid w:val="00507923"/>
    <w:rsid w:val="00510277"/>
    <w:rsid w:val="005120C4"/>
    <w:rsid w:val="005126CA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77EDB"/>
    <w:rsid w:val="005803FF"/>
    <w:rsid w:val="00586905"/>
    <w:rsid w:val="005928B3"/>
    <w:rsid w:val="00592F13"/>
    <w:rsid w:val="005931AD"/>
    <w:rsid w:val="00593655"/>
    <w:rsid w:val="00596F64"/>
    <w:rsid w:val="005A28C4"/>
    <w:rsid w:val="005A4661"/>
    <w:rsid w:val="005A683A"/>
    <w:rsid w:val="005B112E"/>
    <w:rsid w:val="005B36F8"/>
    <w:rsid w:val="005B7A1F"/>
    <w:rsid w:val="005C00BA"/>
    <w:rsid w:val="005C253B"/>
    <w:rsid w:val="005C303F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5F5D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1CBD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2B8C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BD7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97D52"/>
    <w:rsid w:val="009A65B0"/>
    <w:rsid w:val="009A66D3"/>
    <w:rsid w:val="009C39A6"/>
    <w:rsid w:val="009D072F"/>
    <w:rsid w:val="009D37B4"/>
    <w:rsid w:val="009D776B"/>
    <w:rsid w:val="009E00B3"/>
    <w:rsid w:val="009E1B30"/>
    <w:rsid w:val="009E1DED"/>
    <w:rsid w:val="009E2E30"/>
    <w:rsid w:val="009E63A5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57E8B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1ABD"/>
    <w:rsid w:val="00AB5734"/>
    <w:rsid w:val="00AC4752"/>
    <w:rsid w:val="00AC7D17"/>
    <w:rsid w:val="00AD03E4"/>
    <w:rsid w:val="00AD2A09"/>
    <w:rsid w:val="00AD56A1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4133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01BD4"/>
    <w:rsid w:val="00C15CD3"/>
    <w:rsid w:val="00C16879"/>
    <w:rsid w:val="00C170AA"/>
    <w:rsid w:val="00C2315D"/>
    <w:rsid w:val="00C25DDE"/>
    <w:rsid w:val="00C26EC3"/>
    <w:rsid w:val="00C303A2"/>
    <w:rsid w:val="00C31E55"/>
    <w:rsid w:val="00C3309D"/>
    <w:rsid w:val="00C34E98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2105"/>
    <w:rsid w:val="00C73826"/>
    <w:rsid w:val="00C74DBF"/>
    <w:rsid w:val="00C7545B"/>
    <w:rsid w:val="00C76308"/>
    <w:rsid w:val="00C77F75"/>
    <w:rsid w:val="00C81637"/>
    <w:rsid w:val="00C830A2"/>
    <w:rsid w:val="00C85298"/>
    <w:rsid w:val="00C9075E"/>
    <w:rsid w:val="00C90987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B0D"/>
    <w:rsid w:val="00D44D54"/>
    <w:rsid w:val="00D46432"/>
    <w:rsid w:val="00D47A2E"/>
    <w:rsid w:val="00D53186"/>
    <w:rsid w:val="00D5457D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5E94"/>
    <w:rsid w:val="00D96CA3"/>
    <w:rsid w:val="00DB0F0F"/>
    <w:rsid w:val="00DB12AD"/>
    <w:rsid w:val="00DB7130"/>
    <w:rsid w:val="00DB7D16"/>
    <w:rsid w:val="00DC254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26EE"/>
    <w:rsid w:val="00E43D5F"/>
    <w:rsid w:val="00E51817"/>
    <w:rsid w:val="00E54794"/>
    <w:rsid w:val="00E564DB"/>
    <w:rsid w:val="00E57331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97809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1EF2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styleId="Revisin">
    <w:name w:val="Revision"/>
    <w:hidden/>
    <w:uiPriority w:val="99"/>
    <w:semiHidden/>
    <w:rsid w:val="00D42B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1550</Characters>
  <Application>Microsoft Office Word</Application>
  <DocSecurity>0</DocSecurity>
  <Lines>53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2026-01-19T10:55:00Z</dcterms:created>
  <dcterms:modified xsi:type="dcterms:W3CDTF">2026-01-19T10:55:00Z</dcterms:modified>
</cp:coreProperties>
</file>